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671E53">
        <w:t>18</w:t>
      </w:r>
      <w:r w:rsidR="000561CF">
        <w:t>.12</w:t>
      </w:r>
      <w:r>
        <w:t xml:space="preserve">.2023 по </w:t>
      </w:r>
      <w:r w:rsidR="00671E53">
        <w:t>24</w:t>
      </w:r>
      <w:r w:rsidR="00C45C50">
        <w:t>.12</w:t>
      </w:r>
      <w:r>
        <w:t>.2023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532F2C" w:rsidRPr="00D87E2F" w:rsidTr="000D46F0">
        <w:tc>
          <w:tcPr>
            <w:tcW w:w="7905" w:type="dxa"/>
          </w:tcPr>
          <w:p w:rsidR="00532F2C" w:rsidRPr="0068155F" w:rsidRDefault="007F270E" w:rsidP="006737A2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Папір А4</w:t>
            </w:r>
          </w:p>
        </w:tc>
        <w:tc>
          <w:tcPr>
            <w:tcW w:w="1984" w:type="dxa"/>
          </w:tcPr>
          <w:p w:rsidR="00532F2C" w:rsidRPr="00532F2C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2450,00</w:t>
            </w:r>
          </w:p>
        </w:tc>
      </w:tr>
      <w:tr w:rsidR="00650092" w:rsidRPr="00D87E2F" w:rsidTr="000D46F0">
        <w:tc>
          <w:tcPr>
            <w:tcW w:w="7905" w:type="dxa"/>
          </w:tcPr>
          <w:p w:rsidR="00650092" w:rsidRPr="0068155F" w:rsidRDefault="007F270E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Шпаклівка фінішна та стартова,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колор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фарба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інтер'єрна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емаль,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штапік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сітка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шпаклівочна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, розчинник</w:t>
            </w:r>
          </w:p>
        </w:tc>
        <w:tc>
          <w:tcPr>
            <w:tcW w:w="1984" w:type="dxa"/>
          </w:tcPr>
          <w:p w:rsidR="00650092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8069,00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Провід, розетка, патрон, лампочки, подовжувачі, вимикач, провід</w:t>
            </w: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3450,00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Господарчі товари (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саморізи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свердла, замок, шпаклівка, вапно, фарба, цемент, секатор, сітка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рабиця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, віник, диск)</w:t>
            </w: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29038,00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Канцтовари (папки, файли, ручки, олівці, зошити,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біндери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, скоби)</w:t>
            </w: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8490,00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Канцтовари (підставка д/календаря, календарі, ручки, олівці, папки, файли, блокнот, папір для заміток)</w:t>
            </w: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916,00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Ліска, диск, масло, компресор,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ізолента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муфта,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колпачки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уголок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катушка</w:t>
            </w:r>
            <w:proofErr w:type="spellEnd"/>
            <w:r w:rsidRPr="0068155F"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  <w:t>, цепка</w:t>
            </w: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6964,00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7F270E" w:rsidRDefault="007F270E" w:rsidP="000D46F0">
            <w:pPr>
              <w:ind w:firstLine="0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Відділ освіти, культури, молоді та спорту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8155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Електриктрична</w:t>
            </w:r>
            <w:proofErr w:type="spellEnd"/>
            <w:r w:rsidRPr="0068155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енергія грудень 2023 року</w:t>
            </w: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99000,00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68155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Розподіл </w:t>
            </w:r>
            <w:proofErr w:type="spellStart"/>
            <w:r w:rsidRPr="0068155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електоенергіх</w:t>
            </w:r>
            <w:proofErr w:type="spellEnd"/>
            <w:r w:rsidRPr="0068155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на грудень 2023 року</w:t>
            </w: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99000,00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7F270E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proofErr w:type="spellStart"/>
            <w:r w:rsidRPr="007F270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val="ru-RU" w:eastAsia="ru-RU"/>
              </w:rPr>
              <w:t>Електрична</w:t>
            </w:r>
            <w:proofErr w:type="spellEnd"/>
            <w:r w:rsidRPr="007F270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7F270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val="ru-RU" w:eastAsia="ru-RU"/>
              </w:rPr>
              <w:t>енегрія</w:t>
            </w:r>
            <w:proofErr w:type="spellEnd"/>
            <w:r w:rsidRPr="007F270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7F270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val="ru-RU" w:eastAsia="ru-RU"/>
              </w:rPr>
              <w:t>грудень</w:t>
            </w:r>
            <w:proofErr w:type="spellEnd"/>
            <w:r w:rsidRPr="007F270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val="ru-RU" w:eastAsia="ru-RU"/>
              </w:rPr>
              <w:t xml:space="preserve"> 2023 </w:t>
            </w:r>
            <w:proofErr w:type="spellStart"/>
            <w:proofErr w:type="gramStart"/>
            <w:r w:rsidRPr="007F270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7F270E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val="ru-RU" w:eastAsia="ru-RU"/>
              </w:rPr>
              <w:t>ік</w:t>
            </w:r>
            <w:proofErr w:type="spellEnd"/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14239,97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4E701B" w:rsidRDefault="007F270E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D43701" w:rsidRDefault="007F270E" w:rsidP="00F558DE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6737A2" w:rsidRPr="00D87E2F" w:rsidRDefault="006737A2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D43701" w:rsidRPr="00D87E2F" w:rsidTr="000D46F0">
        <w:tc>
          <w:tcPr>
            <w:tcW w:w="7905" w:type="dxa"/>
          </w:tcPr>
          <w:p w:rsidR="00D43701" w:rsidRPr="00D43701" w:rsidRDefault="00D43701" w:rsidP="00F558DE">
            <w:pPr>
              <w:ind w:firstLine="0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84" w:type="dxa"/>
          </w:tcPr>
          <w:p w:rsidR="00D43701" w:rsidRDefault="00D43701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5433C1" w:rsidRPr="00D87E2F" w:rsidTr="005433C1">
        <w:tc>
          <w:tcPr>
            <w:tcW w:w="9889" w:type="dxa"/>
            <w:gridSpan w:val="2"/>
          </w:tcPr>
          <w:p w:rsidR="005433C1" w:rsidRPr="00D87E2F" w:rsidRDefault="005433C1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послуг"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7F270E" w:rsidP="00A93389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68155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Дрова паливні твердих порід</w:t>
            </w:r>
          </w:p>
        </w:tc>
        <w:tc>
          <w:tcPr>
            <w:tcW w:w="1984" w:type="dxa"/>
          </w:tcPr>
          <w:p w:rsidR="007F270E" w:rsidRPr="00D43701" w:rsidRDefault="007F270E" w:rsidP="00A93389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31625,00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68155F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68155F">
              <w:rPr>
                <w:sz w:val="27"/>
                <w:szCs w:val="27"/>
                <w:shd w:val="clear" w:color="auto" w:fill="FFFFFF"/>
              </w:rPr>
              <w:t>Холодильник MIDEA</w:t>
            </w:r>
          </w:p>
        </w:tc>
        <w:tc>
          <w:tcPr>
            <w:tcW w:w="1984" w:type="dxa"/>
          </w:tcPr>
          <w:p w:rsidR="007F270E" w:rsidRPr="00D43701" w:rsidRDefault="0068155F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26999,00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68155F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68155F">
              <w:rPr>
                <w:sz w:val="27"/>
                <w:szCs w:val="27"/>
                <w:shd w:val="clear" w:color="auto" w:fill="FFFFFF"/>
              </w:rPr>
              <w:t>Встановлення автоматичної системи пожежної сигналізації</w:t>
            </w:r>
          </w:p>
        </w:tc>
        <w:tc>
          <w:tcPr>
            <w:tcW w:w="1984" w:type="dxa"/>
          </w:tcPr>
          <w:p w:rsidR="007F270E" w:rsidRPr="00D43701" w:rsidRDefault="0068155F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174681,00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68155F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68155F">
              <w:rPr>
                <w:sz w:val="27"/>
                <w:szCs w:val="27"/>
                <w:shd w:val="clear" w:color="auto" w:fill="FFFFFF"/>
              </w:rPr>
              <w:t>Хліб пшеничний</w:t>
            </w:r>
          </w:p>
        </w:tc>
        <w:tc>
          <w:tcPr>
            <w:tcW w:w="1984" w:type="dxa"/>
          </w:tcPr>
          <w:p w:rsidR="007F270E" w:rsidRPr="00D43701" w:rsidRDefault="0068155F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9720,00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9361FE" w:rsidRDefault="007F270E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7F270E" w:rsidRPr="00D43701" w:rsidRDefault="007F270E" w:rsidP="000D46F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5706F"/>
    <w:rsid w:val="001A26D0"/>
    <w:rsid w:val="001E782A"/>
    <w:rsid w:val="00205898"/>
    <w:rsid w:val="00376A95"/>
    <w:rsid w:val="00390111"/>
    <w:rsid w:val="0042649F"/>
    <w:rsid w:val="00432DAE"/>
    <w:rsid w:val="004E701B"/>
    <w:rsid w:val="004F2785"/>
    <w:rsid w:val="00526126"/>
    <w:rsid w:val="00532F2C"/>
    <w:rsid w:val="005433C1"/>
    <w:rsid w:val="00630A71"/>
    <w:rsid w:val="00650092"/>
    <w:rsid w:val="00671E53"/>
    <w:rsid w:val="006737A2"/>
    <w:rsid w:val="0068155F"/>
    <w:rsid w:val="006F6496"/>
    <w:rsid w:val="007D5BC3"/>
    <w:rsid w:val="007F270E"/>
    <w:rsid w:val="007F7E49"/>
    <w:rsid w:val="0081119B"/>
    <w:rsid w:val="00817B43"/>
    <w:rsid w:val="0084062A"/>
    <w:rsid w:val="009361FE"/>
    <w:rsid w:val="009521E5"/>
    <w:rsid w:val="00962AAA"/>
    <w:rsid w:val="009B5AB9"/>
    <w:rsid w:val="00A86FA4"/>
    <w:rsid w:val="00AA6B31"/>
    <w:rsid w:val="00AF1352"/>
    <w:rsid w:val="00B209D8"/>
    <w:rsid w:val="00C045D6"/>
    <w:rsid w:val="00C2193E"/>
    <w:rsid w:val="00C43A35"/>
    <w:rsid w:val="00C45C50"/>
    <w:rsid w:val="00C627EE"/>
    <w:rsid w:val="00D43701"/>
    <w:rsid w:val="00D51CE0"/>
    <w:rsid w:val="00D739C3"/>
    <w:rsid w:val="00D87E2F"/>
    <w:rsid w:val="00E22519"/>
    <w:rsid w:val="00EB58AE"/>
    <w:rsid w:val="00EF6B84"/>
    <w:rsid w:val="00F262F5"/>
    <w:rsid w:val="00F558D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2023-12-22T13:05:00Z</dcterms:created>
  <dcterms:modified xsi:type="dcterms:W3CDTF">2023-12-26T06:23:00Z</dcterms:modified>
</cp:coreProperties>
</file>