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D" w:rsidRPr="00C83131" w:rsidRDefault="00F32FBD" w:rsidP="00F32FBD">
      <w:pPr>
        <w:pStyle w:val="a5"/>
        <w:rPr>
          <w:sz w:val="20"/>
          <w:szCs w:val="20"/>
        </w:rPr>
      </w:pPr>
      <w:r w:rsidRPr="00C83131">
        <w:rPr>
          <w:sz w:val="20"/>
          <w:szCs w:val="20"/>
        </w:rPr>
        <w:t>П е р е л і к</w:t>
      </w:r>
    </w:p>
    <w:p w:rsidR="00F32FBD" w:rsidRPr="00C83131" w:rsidRDefault="00F32FBD" w:rsidP="00F32FBD">
      <w:pPr>
        <w:jc w:val="center"/>
        <w:rPr>
          <w:b/>
          <w:bCs/>
          <w:sz w:val="20"/>
          <w:szCs w:val="20"/>
          <w:lang w:val="uk-UA"/>
        </w:rPr>
      </w:pPr>
      <w:r w:rsidRPr="00C83131">
        <w:rPr>
          <w:b/>
          <w:bCs/>
          <w:sz w:val="20"/>
          <w:szCs w:val="20"/>
          <w:lang w:val="uk-UA"/>
        </w:rPr>
        <w:t xml:space="preserve">розпоряджень голови Баштанської райдержадміністрації з основної діяльності, виданих  у </w:t>
      </w:r>
      <w:r w:rsidR="00B16CC3" w:rsidRPr="00C83131">
        <w:rPr>
          <w:b/>
          <w:bCs/>
          <w:sz w:val="20"/>
          <w:szCs w:val="20"/>
          <w:lang w:val="uk-UA"/>
        </w:rPr>
        <w:t xml:space="preserve"> грудні   2013  року  з  №428</w:t>
      </w:r>
      <w:r w:rsidRPr="00C83131">
        <w:rPr>
          <w:b/>
          <w:bCs/>
          <w:sz w:val="20"/>
          <w:szCs w:val="20"/>
          <w:lang w:val="uk-UA"/>
        </w:rPr>
        <w:t>-р  по  №</w:t>
      </w:r>
      <w:r w:rsidR="00793B31" w:rsidRPr="00C83131">
        <w:rPr>
          <w:b/>
          <w:bCs/>
          <w:sz w:val="20"/>
          <w:szCs w:val="20"/>
          <w:lang w:val="uk-UA"/>
        </w:rPr>
        <w:t>473</w:t>
      </w:r>
      <w:r w:rsidRPr="00C83131">
        <w:rPr>
          <w:b/>
          <w:bCs/>
          <w:sz w:val="20"/>
          <w:szCs w:val="20"/>
          <w:lang w:val="uk-UA"/>
        </w:rPr>
        <w:t>-р</w:t>
      </w:r>
    </w:p>
    <w:p w:rsidR="00A007BF" w:rsidRPr="000A1755" w:rsidRDefault="00A007BF" w:rsidP="00F32FBD">
      <w:pPr>
        <w:jc w:val="center"/>
        <w:rPr>
          <w:bCs/>
          <w:sz w:val="20"/>
          <w:szCs w:val="20"/>
          <w:lang w:val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417"/>
        <w:gridCol w:w="1276"/>
        <w:gridCol w:w="1134"/>
        <w:gridCol w:w="2126"/>
        <w:gridCol w:w="2552"/>
        <w:gridCol w:w="850"/>
      </w:tblGrid>
      <w:tr w:rsidR="00E951AC" w:rsidRPr="000A1755" w:rsidTr="008877AE">
        <w:tc>
          <w:tcPr>
            <w:tcW w:w="534" w:type="dxa"/>
          </w:tcPr>
          <w:p w:rsidR="00F32FBD" w:rsidRPr="000A1755" w:rsidRDefault="00F32FBD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№ </w:t>
            </w:r>
          </w:p>
          <w:p w:rsidR="00F32FBD" w:rsidRPr="000A1755" w:rsidRDefault="00F32FBD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1417" w:type="dxa"/>
          </w:tcPr>
          <w:p w:rsidR="00F32FBD" w:rsidRPr="000A1755" w:rsidRDefault="00F32FBD" w:rsidP="00F32FB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Найменування суб’єкта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276" w:type="dxa"/>
          </w:tcPr>
          <w:p w:rsidR="00F32FBD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Вид </w:t>
            </w:r>
          </w:p>
          <w:p w:rsidR="00793B31" w:rsidRPr="000A1755" w:rsidRDefault="00793B31" w:rsidP="0086530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A1755">
              <w:rPr>
                <w:sz w:val="20"/>
                <w:szCs w:val="20"/>
                <w:lang w:val="uk-UA"/>
              </w:rPr>
              <w:t>розпоряд</w:t>
            </w:r>
            <w:proofErr w:type="spellEnd"/>
          </w:p>
          <w:p w:rsidR="00E951AC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чого документу</w:t>
            </w:r>
          </w:p>
        </w:tc>
        <w:tc>
          <w:tcPr>
            <w:tcW w:w="1134" w:type="dxa"/>
          </w:tcPr>
          <w:p w:rsidR="00F32FBD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Дата </w:t>
            </w:r>
          </w:p>
          <w:p w:rsidR="00E951AC" w:rsidRPr="000A1755" w:rsidRDefault="00B16CC3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</w:t>
            </w:r>
            <w:r w:rsidR="00E951AC" w:rsidRPr="000A1755">
              <w:rPr>
                <w:sz w:val="20"/>
                <w:szCs w:val="20"/>
                <w:lang w:val="uk-UA"/>
              </w:rPr>
              <w:t xml:space="preserve">рийняття </w:t>
            </w:r>
          </w:p>
          <w:p w:rsidR="00E951AC" w:rsidRPr="000A1755" w:rsidRDefault="00DA2188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а</w:t>
            </w:r>
            <w:r w:rsidR="00E951AC" w:rsidRPr="000A1755">
              <w:rPr>
                <w:sz w:val="20"/>
                <w:szCs w:val="20"/>
                <w:lang w:val="uk-UA"/>
              </w:rPr>
              <w:t>кту та його номер</w:t>
            </w:r>
          </w:p>
        </w:tc>
        <w:tc>
          <w:tcPr>
            <w:tcW w:w="2126" w:type="dxa"/>
          </w:tcPr>
          <w:p w:rsidR="00F32FBD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Повна </w:t>
            </w:r>
          </w:p>
          <w:p w:rsidR="00E951AC" w:rsidRPr="000A1755" w:rsidRDefault="00793B31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н</w:t>
            </w:r>
            <w:r w:rsidR="00E951AC" w:rsidRPr="000A1755">
              <w:rPr>
                <w:sz w:val="20"/>
                <w:szCs w:val="20"/>
                <w:lang w:val="uk-UA"/>
              </w:rPr>
              <w:t xml:space="preserve">азва </w:t>
            </w:r>
          </w:p>
          <w:p w:rsidR="00E951AC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акту</w:t>
            </w:r>
          </w:p>
        </w:tc>
        <w:tc>
          <w:tcPr>
            <w:tcW w:w="2552" w:type="dxa"/>
          </w:tcPr>
          <w:p w:rsidR="00F32FBD" w:rsidRPr="000A1755" w:rsidRDefault="00E951A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Короткий </w:t>
            </w:r>
          </w:p>
          <w:p w:rsidR="00E951AC" w:rsidRPr="000A1755" w:rsidRDefault="00793B31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з</w:t>
            </w:r>
            <w:r w:rsidR="00E951AC" w:rsidRPr="000A1755">
              <w:rPr>
                <w:sz w:val="20"/>
                <w:szCs w:val="20"/>
                <w:lang w:val="uk-UA"/>
              </w:rPr>
              <w:t>міст</w:t>
            </w:r>
            <w:r w:rsidRPr="000A1755">
              <w:rPr>
                <w:sz w:val="20"/>
                <w:szCs w:val="20"/>
                <w:lang w:val="uk-UA"/>
              </w:rPr>
              <w:t xml:space="preserve"> акта</w:t>
            </w:r>
            <w:r w:rsidR="00E951AC" w:rsidRPr="000A1755">
              <w:rPr>
                <w:sz w:val="20"/>
                <w:szCs w:val="20"/>
                <w:lang w:val="uk-UA"/>
              </w:rPr>
              <w:t>, що розкриває суть його правового регулювання</w:t>
            </w:r>
          </w:p>
        </w:tc>
        <w:tc>
          <w:tcPr>
            <w:tcW w:w="850" w:type="dxa"/>
          </w:tcPr>
          <w:p w:rsidR="00F32FBD" w:rsidRPr="000A1755" w:rsidRDefault="00E951AC" w:rsidP="00DA2188">
            <w:pPr>
              <w:ind w:left="244" w:right="-3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A1755">
              <w:rPr>
                <w:sz w:val="20"/>
                <w:szCs w:val="20"/>
                <w:lang w:val="uk-UA"/>
              </w:rPr>
              <w:t>Примі</w:t>
            </w:r>
            <w:r w:rsidR="00DA2188" w:rsidRPr="000A1755">
              <w:rPr>
                <w:sz w:val="20"/>
                <w:szCs w:val="20"/>
                <w:lang w:val="uk-UA"/>
              </w:rPr>
              <w:t>ки</w:t>
            </w:r>
            <w:r w:rsidRPr="000A1755">
              <w:rPr>
                <w:sz w:val="20"/>
                <w:szCs w:val="20"/>
                <w:lang w:val="uk-UA"/>
              </w:rPr>
              <w:t>т</w:t>
            </w:r>
            <w:proofErr w:type="spellEnd"/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428-р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забезпечення виконання Указу Президента України від 27.09.2013 №532/2013 «Про стратегію розвитку державної молодіжної політики на період до 2020 року»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Забезпечено виконання Указу Президента України від 27.09.2013 №532/2013 «Про стратегію розвитку державної молодіжної політики на період до 2020 року»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429-р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24.04.09 №303-р «Про утворення Ради старійшин при голові Баштанської райдержадміністрації»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Внесено зміни до розпорядження голови райдержадміністрації від 24.04.09 №303-р «Про утворення Ради старійшин при голові Баштанської райдержадміністрації»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430-р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відзначення працівників з нагоди Дня місцевого самоврядування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Відзначено працівників з нагоди Дня місцевого самоврядування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431-р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оголошення конкурсу на заміщення вакантних посад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Оголошено конкурс на заміщення вакантних посад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432-р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переможців першого етапу всеукраїнського конкурсу «Населений  пункт найкращого благоустрою і підтримки громадського порядку»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Оголошено переможців першого етапу всеукраїнського конкурсу «Населений  пункт найкращого благоустрою і підтримки громадського порядку»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2F4F7E">
        <w:trPr>
          <w:trHeight w:val="1396"/>
        </w:trPr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03.12.2013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433-р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перерозподіл бюджетних призначень у 2013 році </w:t>
            </w:r>
          </w:p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Здійснено перерозподіл бюджетних призначень у 2013 році </w:t>
            </w:r>
          </w:p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03.12.2013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434-р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виділення земельної ділянки в натурі (на місцевості) Петренку В.І.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pStyle w:val="a"/>
              <w:numPr>
                <w:ilvl w:val="0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Виділено земельну ділянку в натурі (на місцевості) Петренку В.І.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Старогороженської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05.12.2013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435-р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Про внесення змін до розпорядження голови райдержадміністрації від 11.11.2013 №388-р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Внесено зміни до розпорядження голови райдержадміністрації від 11.11.2013 №388-р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05.12.2013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436-р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основні напрямки розвитку туризму 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районі на 2013 – 2014 роки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 основні напрямки розвитку туризму 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районі на 2013 – 2014 роки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05.12.2013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437-р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Положення про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Баштанський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районний центр соціальних служб для сім’ї, дітей та молоді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Положення про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Баштанський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районний центр соціальних служб для сім’ї, дітей та молоді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05.12.2013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438-р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граничної чисельності працівників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районного центру соціальних служб для сім’ї, дітей та молоді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 граничну чисельність працівників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районного центру соціальних служб для сім’ї, дітей та молоді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05.12.2013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439-р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розпорядження голови райдержадміністрації від 28.12.2011 №631-р «Про затвердження нового складу експертної комісії райдержадміністрації»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Внесено зміни до розпорядження голови райдержадміністрації від 28.12.2011 №631-р «Про затвердження нового складу експертної комісії райдержадміністрації»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09.12.2013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440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поділу земельних ділянок громадянки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Бєлєнкіної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О.І.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Явкинської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Баштанскього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технічну документації із землеустрою щодо поділу земельних ділянок громадянки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Бєлєнкіної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О.І.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Явкинської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Баштанскього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10.12.2013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441-р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земельних ділянок громадянину України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Шаповалову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М.І. для ведення товарного сільськогосподарсько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Пісківської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Затверджено технічну документацію із землеустрою щодо відновлення в натурі (на місцевості) меж земельних ділянок громадянину України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Шаповалову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М.І.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Пісківської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lastRenderedPageBreak/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1E483A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10.12.2013</w:t>
            </w:r>
          </w:p>
          <w:p w:rsidR="001E483A" w:rsidRPr="000A1755" w:rsidRDefault="001E483A" w:rsidP="001E483A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442-р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дострокове розірвання за згодою сторін договору оренди землі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Новосергіївської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дострокове розірвання за згодою сторін договору оренди землі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Новосергіївської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10.12.2013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443-р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встановлення надбавки та преміювання             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Якимчук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Встановлено надбавку та преміювання             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Якимчук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Н.І.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11.12.2013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444-р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утворення постійно діючої комісії Баштанської райдержадміністрації з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категоріювання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об’єктів, в яких циркулює інформація з обмеженим доступом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 утворення постійно діючої комісії Баштанської райдержадміністрації з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категоріювання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об’єктів, в яких циркулює інформація з обмеженим доступом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11.12.2013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445-р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результатів атестації державних службовців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 результати атестації державних службовців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12.12.2013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446-р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з державного, сільських бюджетів та перерозподіл бюджетних призначень у 2013 році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Внесено  зміни до обсягу міжбюджетних трансфертів з державного, сільських бюджетів та перерозподіл бюджетних призначень у 2013 році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16.12.2013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447-р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плану заходів з реалізації Національної стратегії розвитку освіти в Україні на період до 2021 року 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план заходів з реалізації Національної стратегії розвитку освіти в Україні на період до 2021 року 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Баштанському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16.12.2013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448-р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з державного бюджету у 2013 році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Внесено зміни до обсягу міжбюджетних трансфертів з державного бюджету у 2013 році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17.12.2013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449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відзначення працівників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РВ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УМВС України в Миколаївській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Відзначено працівників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РВ УМВС України в Миколаївській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17.12.2013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450-р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чергування відповідальних працівників структурних підрозділів Баштанської районної державної адміністрації з 01 до 07 січня 2014 року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чергування відповідальних працівників структурних підрозділів Баштанської районної державної адміністрації з 01 до 07 січня 2014 року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17.12.2013</w:t>
            </w:r>
          </w:p>
          <w:p w:rsidR="001E483A" w:rsidRPr="000A1755" w:rsidRDefault="001E483A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451-р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встановлення в натурі (на місцевості) меж земельної ділянки громадянину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Ганіченку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С.М. для ведення товарного сільськогосподарського виробництва в межах території Баштанської міської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технічну документацію із землеустрою щодо встановлення в натурі (на місцевості) меж земельної ділянки громадянину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Ганіченку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С.М. для ведення товарного сільськогосподарського виробництва в межах території Баштанської міської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17.12.2013</w:t>
            </w:r>
          </w:p>
          <w:p w:rsidR="007E5D4B" w:rsidRPr="000A1755" w:rsidRDefault="007E5D4B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452-р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дострокове розірвання за згодою сторін договору оренди землі для ведення підсобного господарства на території Ленінської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дострокове розірвання за згодою сторін договору оренди землі для ведення підсобного господарства на території Ленінської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18.12.2013</w:t>
            </w:r>
          </w:p>
          <w:p w:rsidR="007E5D4B" w:rsidRPr="000A1755" w:rsidRDefault="007E5D4B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453-р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складу Координаційної ради з питань сім’ї, жінок, дітей та молоді при райдержадміністрації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Внесено  зміни до складу Координаційної ради з питань сім’ї, жінок, дітей та молоді при райдержадміністрації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19.12.2013</w:t>
            </w:r>
          </w:p>
          <w:p w:rsidR="007E5D4B" w:rsidRPr="000A1755" w:rsidRDefault="007E5D4B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454-р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перспективного плану роботи Баштанської районної державної адміністрації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 перспективний план роботи Баштанської районної державної адміністрації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20.12.2013</w:t>
            </w:r>
          </w:p>
          <w:p w:rsidR="007E5D4B" w:rsidRPr="000A1755" w:rsidRDefault="007E5D4B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455-р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Про затвердження технічної документації із землеустрою щодо складання документів, що посвідчують право на земельні ділянки громадянці України Наконечній Н.Й. для ведення товарного сільськогосподарсько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Інгульської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Затверджено технічну документації із землеустрою щодо складання документів, що посвідчують право на земельні ділянки громадянці України Наконечній Н.Й.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Інгульської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lastRenderedPageBreak/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7E5D4B">
        <w:trPr>
          <w:trHeight w:val="3915"/>
        </w:trPr>
        <w:tc>
          <w:tcPr>
            <w:tcW w:w="534" w:type="dxa"/>
            <w:tcBorders>
              <w:bottom w:val="single" w:sz="4" w:space="0" w:color="auto"/>
            </w:tcBorders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20.12.2013</w:t>
            </w:r>
          </w:p>
          <w:p w:rsidR="007E5D4B" w:rsidRPr="000A1755" w:rsidRDefault="007E5D4B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456-р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дострокове розірвання за згодою сторін договору оренди землі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Мар’ївської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дострокове розірвання за згодою сторін договору оренди землі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Мар’ївської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E5D4B" w:rsidRPr="000A1755" w:rsidTr="007E5D4B">
        <w:trPr>
          <w:trHeight w:val="1719"/>
        </w:trPr>
        <w:tc>
          <w:tcPr>
            <w:tcW w:w="534" w:type="dxa"/>
            <w:tcBorders>
              <w:top w:val="single" w:sz="4" w:space="0" w:color="auto"/>
            </w:tcBorders>
          </w:tcPr>
          <w:p w:rsidR="007E5D4B" w:rsidRPr="000A1755" w:rsidRDefault="007E5D4B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5D4B" w:rsidRPr="000A1755" w:rsidRDefault="007E5D4B" w:rsidP="007E5D4B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7E5D4B" w:rsidRPr="000A1755" w:rsidRDefault="007E5D4B" w:rsidP="007E5D4B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5D4B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5D4B" w:rsidRPr="000A1755" w:rsidRDefault="007E5D4B" w:rsidP="007E5D4B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20.12.2013</w:t>
            </w:r>
          </w:p>
          <w:p w:rsidR="007E5D4B" w:rsidRPr="000A1755" w:rsidRDefault="007E5D4B" w:rsidP="007E5D4B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456-р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5D4B" w:rsidRPr="000A1755" w:rsidRDefault="007E5D4B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складання документів, що посвідчують право на земельні ділянки громадянці </w:t>
            </w:r>
            <w:proofErr w:type="spellStart"/>
            <w:r w:rsidR="00490A26" w:rsidRPr="000A1755">
              <w:rPr>
                <w:sz w:val="20"/>
                <w:szCs w:val="20"/>
                <w:lang w:val="uk-UA"/>
              </w:rPr>
              <w:t>Мараховській</w:t>
            </w:r>
            <w:proofErr w:type="spellEnd"/>
            <w:r w:rsidR="00490A26" w:rsidRPr="000A1755">
              <w:rPr>
                <w:sz w:val="20"/>
                <w:szCs w:val="20"/>
                <w:lang w:val="uk-UA"/>
              </w:rPr>
              <w:t xml:space="preserve"> О.Г. для ведення товарного сільськогосподарського виробництва на території Баштанської  міської ради </w:t>
            </w:r>
            <w:proofErr w:type="spellStart"/>
            <w:r w:rsidR="00490A26"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="00490A26" w:rsidRPr="000A1755">
              <w:rPr>
                <w:sz w:val="20"/>
                <w:szCs w:val="20"/>
                <w:lang w:val="uk-UA"/>
              </w:rPr>
              <w:t xml:space="preserve"> району Миколаївської області 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5D4B" w:rsidRPr="000A1755" w:rsidRDefault="00490A2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технічну документацію із землеустрою щодо складання документів, що посвідчують право на земельні ділянки громадянці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Мараховській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О.Г. для ведення товарного сільськогосподарського виробництва на території Баштанської  міської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E5D4B" w:rsidRPr="000A1755" w:rsidRDefault="007E5D4B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20.12.2013</w:t>
            </w:r>
          </w:p>
          <w:p w:rsidR="00490A26" w:rsidRPr="000A1755" w:rsidRDefault="00490A2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457-р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Про забезпечення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Забезпечено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23.12.2013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458-р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преміювання кандидатів на здобуття районної премії імені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Хамчича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В.М. – у номінації «Кращий керівник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сільського господарства»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Затверджено преміювання кандидатів на здобуття районної премії імені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Хамчича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В.М. – у номінації «Кращий керівник сільського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господарства»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24.12.2013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459-р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плану дій Баштанської районної державної адміністрації на І квартал 2014 року </w:t>
            </w:r>
          </w:p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план дій Баштанської районної державної адміністрації на І квартал 2014 року </w:t>
            </w:r>
          </w:p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25.12.2013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460-р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Про відзначення працівників ПАТ «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Баштанський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сирзавод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Затверджено відзначення працівників ПАТ «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Баштанський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сирзавод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»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461-р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земельної ділянки громадянці України Піскун О.Я.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Новосергіївської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технічну документацію із землеустрою щодо відновлення в натурі (на місцевості) меж земельної ділянки громадянці України Піскун О.Я.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Новосергіївської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462-р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Про проведення чергових призовів громадян України на строкову військову службу до внутрішніх військ Міністерства внутрішніх справ України у 2014 році</w:t>
            </w:r>
          </w:p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Затверджено проведення чергових призовів громадян України на строкову військову службу до внутрішніх військ Міністерства внутрішніх справ України у 2014 році</w:t>
            </w:r>
          </w:p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463-р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технічної документації із землеустрою щодо відновлення в натурі (на місцевості) меж земельної ділянки громадянці України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Овчинниковій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О.П.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технічну документацію із землеустрою щодо відновлення в натурі (на місцевості) меж земельної ділянки громадянці України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Овчинниковій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О.П. для ведення товарного сільськогосподарського виробництва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Доброкриничанської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464-р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виділення земельної ділянки в натурі (на місцевості)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Сімаченку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Ю.В. для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ведення товарного сільськогосподарського виробництва на території Ленінської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Затверджено виділення земельної ділянки в натурі (на місцевості)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Сімаченку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Ю.В. для ведення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товарного сільськогосподарського виробництва на території Ленінської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3</w:t>
            </w:r>
            <w:r w:rsidR="00DD176C" w:rsidRPr="000A175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26.12.2013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465-р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з державного, обласного бюджетів та перерозподіл бюджетних призначень у 2013 році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внесення змін до обсягу міжбюджетних трансфертів з державного, обласного бюджетів та перерозподіл бюджетних призначень у 2013 році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DD176C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27.12.2013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466-р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перерозподіл бюджетних призначень у 2013 році </w:t>
            </w:r>
          </w:p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перерозподіл бюджетних призначень у 2013 році </w:t>
            </w:r>
          </w:p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  <w:r w:rsidR="00DD176C" w:rsidRPr="000A175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27.12.2013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467-р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дострокове розірвання за згодою сторін договору оренди земельних ділянок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Новоолександрівської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 дострокове розірвання за згодою сторін договору оренди земельних ділянок для ведення підсобного господарства на території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Новоолександрівської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сільської ради </w:t>
            </w:r>
            <w:proofErr w:type="spellStart"/>
            <w:r w:rsidRPr="000A1755">
              <w:rPr>
                <w:sz w:val="20"/>
                <w:szCs w:val="20"/>
                <w:lang w:val="uk-UA"/>
              </w:rPr>
              <w:t>Баштанського</w:t>
            </w:r>
            <w:proofErr w:type="spellEnd"/>
            <w:r w:rsidRPr="000A1755">
              <w:rPr>
                <w:sz w:val="20"/>
                <w:szCs w:val="20"/>
                <w:lang w:val="uk-UA"/>
              </w:rPr>
              <w:t xml:space="preserve"> району Миколаївської області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  <w:r w:rsidR="00DD176C" w:rsidRPr="000A175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468-р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до обсягу міжбюджетних трансфертів з державного бюджету у 2013 році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внесення змін до обсягу міжбюджетних трансфертів з державного бюджету у 2013 році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  <w:r w:rsidR="00DD176C" w:rsidRPr="000A175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469-р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структуру і чисельність працівників Баштанської районної державної адміністрації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структуру і чисельність працівників Баштанської районної державної адміністрації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  <w:r w:rsidR="00DD176C" w:rsidRPr="000A175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470-р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кадрового резерву для державної служби в Баштанській райдержадміністрації на 2014 рік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 Затверджено кадровий резерв для державної служби в Баштанській райдержадміністрації на 2014 рік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</w:t>
            </w:r>
            <w:r w:rsidR="00DD176C" w:rsidRPr="000A175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</w:tcPr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022966" w:rsidP="00010F88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471-р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надання права підпису на фінансових документах </w:t>
            </w:r>
          </w:p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Затверджено надання права підпису на фінансових документах </w:t>
            </w:r>
          </w:p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793B31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1417" w:type="dxa"/>
          </w:tcPr>
          <w:p w:rsidR="00DD176C" w:rsidRPr="000A1755" w:rsidRDefault="00DD176C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DD176C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472-р</w:t>
            </w:r>
          </w:p>
        </w:tc>
        <w:tc>
          <w:tcPr>
            <w:tcW w:w="2126" w:type="dxa"/>
          </w:tcPr>
          <w:p w:rsidR="00022966" w:rsidRPr="000A1755" w:rsidRDefault="00022966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затвердження плану заходів щодо впровадження,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сертифікації та функціонування систем управління якістю на вітчизняних підприємствах, в установах і організаціях відповідно до національних (міжнародних) стандартів </w:t>
            </w:r>
          </w:p>
        </w:tc>
        <w:tc>
          <w:tcPr>
            <w:tcW w:w="2552" w:type="dxa"/>
          </w:tcPr>
          <w:p w:rsidR="00022966" w:rsidRPr="000A1755" w:rsidRDefault="00022966" w:rsidP="00835F8D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 Затверджено  план заходів щодо впровадження, сертифікації та </w:t>
            </w:r>
            <w:r w:rsidRPr="000A1755">
              <w:rPr>
                <w:sz w:val="20"/>
                <w:szCs w:val="20"/>
                <w:lang w:val="uk-UA"/>
              </w:rPr>
              <w:lastRenderedPageBreak/>
              <w:t xml:space="preserve">функціонування систем управління якістю на вітчизняних підприємствах, в установах і організаціях відповідно до національних (міжнародних) стандартів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22966" w:rsidRPr="000A1755" w:rsidTr="008877AE">
        <w:tc>
          <w:tcPr>
            <w:tcW w:w="534" w:type="dxa"/>
          </w:tcPr>
          <w:p w:rsidR="00022966" w:rsidRPr="000A1755" w:rsidRDefault="00793B31" w:rsidP="0086530D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1417" w:type="dxa"/>
          </w:tcPr>
          <w:p w:rsidR="00DD176C" w:rsidRPr="000A1755" w:rsidRDefault="00DD176C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Баштанська</w:t>
            </w:r>
          </w:p>
          <w:p w:rsidR="00022966" w:rsidRPr="000A1755" w:rsidRDefault="00DD176C" w:rsidP="00DD176C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райдержадміністрація</w:t>
            </w:r>
          </w:p>
        </w:tc>
        <w:tc>
          <w:tcPr>
            <w:tcW w:w="1276" w:type="dxa"/>
          </w:tcPr>
          <w:p w:rsidR="00022966" w:rsidRPr="000A1755" w:rsidRDefault="00DD176C" w:rsidP="00C80598">
            <w:pPr>
              <w:ind w:left="-108" w:right="-178"/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022966" w:rsidRPr="000A1755" w:rsidRDefault="00022966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30.12.2013</w:t>
            </w:r>
          </w:p>
          <w:p w:rsidR="00FC3695" w:rsidRPr="000A1755" w:rsidRDefault="00FC3695" w:rsidP="00C80598">
            <w:pPr>
              <w:jc w:val="center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№ 473-р</w:t>
            </w:r>
          </w:p>
        </w:tc>
        <w:tc>
          <w:tcPr>
            <w:tcW w:w="2126" w:type="dxa"/>
          </w:tcPr>
          <w:p w:rsidR="00022966" w:rsidRPr="000A1755" w:rsidRDefault="00EC40D7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Про внесення змін </w:t>
            </w:r>
          </w:p>
          <w:p w:rsidR="00EC40D7" w:rsidRPr="000A1755" w:rsidRDefault="00EC40D7" w:rsidP="00B16CC3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до розпорядження голови райдержадміністрації від 21.02.2013 № 42-р «Про встановлення на 2013 рік фонду оплати праці працівників і видатків на утримання управлінь, відділів</w:t>
            </w:r>
            <w:r w:rsidR="00851040" w:rsidRPr="000A1755">
              <w:rPr>
                <w:sz w:val="20"/>
                <w:szCs w:val="20"/>
                <w:lang w:val="uk-UA"/>
              </w:rPr>
              <w:t>, інших структурних підрозділів райдержадміністрації</w:t>
            </w:r>
            <w:r w:rsidRPr="000A1755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851040" w:rsidRPr="000A1755" w:rsidRDefault="00793B31" w:rsidP="00851040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>Затверджено</w:t>
            </w:r>
            <w:r w:rsidR="00851040" w:rsidRPr="000A1755">
              <w:rPr>
                <w:sz w:val="20"/>
                <w:szCs w:val="20"/>
                <w:lang w:val="uk-UA"/>
              </w:rPr>
              <w:t xml:space="preserve"> внесення змін </w:t>
            </w:r>
          </w:p>
          <w:p w:rsidR="00022966" w:rsidRPr="000A1755" w:rsidRDefault="00851040" w:rsidP="00851040">
            <w:pPr>
              <w:jc w:val="both"/>
              <w:rPr>
                <w:sz w:val="20"/>
                <w:szCs w:val="20"/>
                <w:lang w:val="uk-UA"/>
              </w:rPr>
            </w:pPr>
            <w:r w:rsidRPr="000A1755">
              <w:rPr>
                <w:sz w:val="20"/>
                <w:szCs w:val="20"/>
                <w:lang w:val="uk-UA"/>
              </w:rPr>
              <w:t xml:space="preserve">до розпорядження голови райдержадміністрації від 21.02.2013 № 42-р «Про встановлення на 2013 рік фонду оплати праці працівників і видатків на утримання управлінь, відділів, інших структурних підрозділів райдержадміністрації  </w:t>
            </w:r>
          </w:p>
        </w:tc>
        <w:tc>
          <w:tcPr>
            <w:tcW w:w="850" w:type="dxa"/>
          </w:tcPr>
          <w:p w:rsidR="00022966" w:rsidRPr="000A1755" w:rsidRDefault="00022966" w:rsidP="0086530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86530D" w:rsidRPr="000A1755" w:rsidRDefault="0086530D" w:rsidP="0086530D">
      <w:pPr>
        <w:jc w:val="center"/>
        <w:rPr>
          <w:sz w:val="20"/>
          <w:szCs w:val="20"/>
          <w:lang w:val="uk-UA"/>
        </w:rPr>
      </w:pPr>
    </w:p>
    <w:p w:rsidR="00D873DD" w:rsidRPr="000A1755" w:rsidRDefault="00D873DD" w:rsidP="0086530D">
      <w:pPr>
        <w:jc w:val="center"/>
        <w:rPr>
          <w:sz w:val="20"/>
          <w:szCs w:val="20"/>
          <w:lang w:val="uk-UA"/>
        </w:rPr>
      </w:pPr>
    </w:p>
    <w:p w:rsidR="00D873DD" w:rsidRPr="000A1755" w:rsidRDefault="00D873DD" w:rsidP="0086530D">
      <w:pPr>
        <w:jc w:val="center"/>
        <w:rPr>
          <w:sz w:val="20"/>
          <w:szCs w:val="20"/>
          <w:lang w:val="uk-UA"/>
        </w:rPr>
      </w:pPr>
    </w:p>
    <w:p w:rsidR="00D873DD" w:rsidRPr="000A1755" w:rsidRDefault="00D873DD" w:rsidP="00D873DD">
      <w:pPr>
        <w:jc w:val="both"/>
        <w:rPr>
          <w:sz w:val="20"/>
          <w:szCs w:val="20"/>
          <w:lang w:val="uk-UA"/>
        </w:rPr>
      </w:pPr>
      <w:r w:rsidRPr="000A1755">
        <w:rPr>
          <w:sz w:val="20"/>
          <w:szCs w:val="20"/>
          <w:lang w:val="uk-UA"/>
        </w:rPr>
        <w:t xml:space="preserve">Головний спеціаліст юридичного </w:t>
      </w:r>
    </w:p>
    <w:p w:rsidR="00D873DD" w:rsidRPr="000A1755" w:rsidRDefault="00D873DD" w:rsidP="00D873DD">
      <w:pPr>
        <w:jc w:val="both"/>
        <w:rPr>
          <w:sz w:val="20"/>
          <w:szCs w:val="20"/>
          <w:lang w:val="uk-UA"/>
        </w:rPr>
      </w:pPr>
      <w:r w:rsidRPr="000A1755">
        <w:rPr>
          <w:sz w:val="20"/>
          <w:szCs w:val="20"/>
          <w:lang w:val="uk-UA"/>
        </w:rPr>
        <w:t xml:space="preserve">сектору апарату райдержадміністрації                                     </w:t>
      </w:r>
      <w:proofErr w:type="spellStart"/>
      <w:r w:rsidRPr="000A1755">
        <w:rPr>
          <w:sz w:val="20"/>
          <w:szCs w:val="20"/>
          <w:lang w:val="uk-UA"/>
        </w:rPr>
        <w:t>Панарін</w:t>
      </w:r>
      <w:proofErr w:type="spellEnd"/>
      <w:r w:rsidRPr="000A1755">
        <w:rPr>
          <w:sz w:val="20"/>
          <w:szCs w:val="20"/>
          <w:lang w:val="uk-UA"/>
        </w:rPr>
        <w:t xml:space="preserve"> В.В.</w:t>
      </w:r>
    </w:p>
    <w:sectPr w:rsidR="00D873DD" w:rsidRPr="000A1755" w:rsidSect="009C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418FF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316"/>
    <w:rsid w:val="00010BDE"/>
    <w:rsid w:val="00010F88"/>
    <w:rsid w:val="00022966"/>
    <w:rsid w:val="000A1755"/>
    <w:rsid w:val="001459DE"/>
    <w:rsid w:val="001A091B"/>
    <w:rsid w:val="001E483A"/>
    <w:rsid w:val="00217CA8"/>
    <w:rsid w:val="00226067"/>
    <w:rsid w:val="00240363"/>
    <w:rsid w:val="00275316"/>
    <w:rsid w:val="002F0693"/>
    <w:rsid w:val="002F4D9D"/>
    <w:rsid w:val="002F4F7E"/>
    <w:rsid w:val="002F6011"/>
    <w:rsid w:val="00376A93"/>
    <w:rsid w:val="003A2C51"/>
    <w:rsid w:val="003F1956"/>
    <w:rsid w:val="00432DE8"/>
    <w:rsid w:val="00487323"/>
    <w:rsid w:val="00490A26"/>
    <w:rsid w:val="00565BC3"/>
    <w:rsid w:val="00595D7F"/>
    <w:rsid w:val="0068357A"/>
    <w:rsid w:val="006F79E5"/>
    <w:rsid w:val="00707FB2"/>
    <w:rsid w:val="007573DC"/>
    <w:rsid w:val="00793B31"/>
    <w:rsid w:val="007A48E8"/>
    <w:rsid w:val="007C2DEF"/>
    <w:rsid w:val="007E5D4B"/>
    <w:rsid w:val="008045CF"/>
    <w:rsid w:val="00851040"/>
    <w:rsid w:val="0086530D"/>
    <w:rsid w:val="008877AE"/>
    <w:rsid w:val="008B417A"/>
    <w:rsid w:val="008F1B12"/>
    <w:rsid w:val="0094612F"/>
    <w:rsid w:val="00997FEC"/>
    <w:rsid w:val="009C44DF"/>
    <w:rsid w:val="00A007BF"/>
    <w:rsid w:val="00B16CC3"/>
    <w:rsid w:val="00B61AFA"/>
    <w:rsid w:val="00B855D0"/>
    <w:rsid w:val="00C83131"/>
    <w:rsid w:val="00C95BA0"/>
    <w:rsid w:val="00C964C8"/>
    <w:rsid w:val="00D873DD"/>
    <w:rsid w:val="00DA2188"/>
    <w:rsid w:val="00DD176C"/>
    <w:rsid w:val="00E76D53"/>
    <w:rsid w:val="00E951AC"/>
    <w:rsid w:val="00EC40D7"/>
    <w:rsid w:val="00F32FBD"/>
    <w:rsid w:val="00FC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75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F32FBD"/>
    <w:pPr>
      <w:jc w:val="center"/>
    </w:pPr>
    <w:rPr>
      <w:b/>
      <w:bCs/>
      <w:caps/>
      <w:sz w:val="28"/>
      <w:lang w:val="uk-UA"/>
    </w:rPr>
  </w:style>
  <w:style w:type="character" w:customStyle="1" w:styleId="a6">
    <w:name w:val="Название Знак"/>
    <w:basedOn w:val="a1"/>
    <w:link w:val="a5"/>
    <w:rsid w:val="00F32FBD"/>
    <w:rPr>
      <w:rFonts w:ascii="Times New Roman" w:eastAsia="Times New Roman" w:hAnsi="Times New Roman" w:cs="Times New Roman"/>
      <w:b/>
      <w:bCs/>
      <w:caps/>
      <w:sz w:val="28"/>
      <w:szCs w:val="24"/>
      <w:lang w:val="uk-UA" w:eastAsia="ru-RU"/>
    </w:rPr>
  </w:style>
  <w:style w:type="paragraph" w:customStyle="1" w:styleId="a7">
    <w:name w:val="Знак Знак Знак Знак"/>
    <w:basedOn w:val="a0"/>
    <w:rsid w:val="00F32FBD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rsid w:val="003F19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0D77-C1C6-4655-B892-177BB834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2014-02-10T13:11:00Z</cp:lastPrinted>
  <dcterms:created xsi:type="dcterms:W3CDTF">2013-10-04T05:34:00Z</dcterms:created>
  <dcterms:modified xsi:type="dcterms:W3CDTF">2014-02-10T14:06:00Z</dcterms:modified>
</cp:coreProperties>
</file>