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7A69F6" w:rsidRDefault="007A69F6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709C" w:rsidRPr="0011709C" w:rsidRDefault="0011709C" w:rsidP="00117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09C">
        <w:rPr>
          <w:rFonts w:ascii="Times New Roman" w:hAnsi="Times New Roman" w:cs="Times New Roman"/>
          <w:b/>
          <w:sz w:val="32"/>
          <w:szCs w:val="32"/>
        </w:rPr>
        <w:t>Порядок відмови від прийняття спадщини</w:t>
      </w:r>
    </w:p>
    <w:p w:rsidR="00640650" w:rsidRPr="00A66D49" w:rsidRDefault="00640650" w:rsidP="00DD3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Спадкоємець за заповітом чи за законом має право прийняти спадщину або не прийняти її на підставі ст. 1268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Спадкоємець за заповітом або за законом може відмовитися від прийняття спадщини протягом строку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шість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місяців</w:t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який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починається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з часу відкриття спадщини яка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відкривається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з дня смерті особи або з дня, з як</w:t>
      </w:r>
      <w:r>
        <w:rPr>
          <w:rFonts w:ascii="Times New Roman" w:hAnsi="Times New Roman" w:cs="Times New Roman"/>
          <w:bCs/>
          <w:sz w:val="24"/>
          <w:szCs w:val="24"/>
        </w:rPr>
        <w:t>ого вона оголошується померлою.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Для цього спадкоємцю необхідно звернутися із заявою про відмову від прийняття спадщини, яка подається </w:t>
      </w:r>
      <w:r w:rsidRPr="00792276">
        <w:rPr>
          <w:rFonts w:ascii="Times New Roman" w:hAnsi="Times New Roman" w:cs="Times New Roman"/>
          <w:bCs/>
          <w:i/>
          <w:iCs/>
          <w:sz w:val="24"/>
          <w:szCs w:val="24"/>
        </w:rPr>
        <w:t>нотаріусу</w:t>
      </w:r>
      <w:r w:rsidRPr="00792276">
        <w:rPr>
          <w:rFonts w:ascii="Times New Roman" w:hAnsi="Times New Roman" w:cs="Times New Roman"/>
          <w:bCs/>
          <w:sz w:val="24"/>
          <w:szCs w:val="24"/>
        </w:rPr>
        <w:t> або в сільських населених пунктах - 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уповноваженій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на це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посадовій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особі відповідного органу місцевого самоврядування</w:t>
      </w:r>
      <w:r w:rsidRPr="00792276">
        <w:rPr>
          <w:rFonts w:ascii="Times New Roman" w:hAnsi="Times New Roman" w:cs="Times New Roman"/>
          <w:bCs/>
          <w:sz w:val="24"/>
          <w:szCs w:val="24"/>
        </w:rPr>
        <w:t> за місцем відкриття спадщини.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Слід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розрізняти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неподання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заяви про прийняття спадщини протягом встановленого строку й подання заяви про відмову від спадщини. Так, 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першому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випадку особа не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здійснює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свого права,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чого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втрачає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можливість прийняти спадщину, а 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іншому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вчиняє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активні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дії, тобто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реалізує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своє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право на відмову від прийняття спадщини.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окремих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>категорій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громадян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>передбачений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79227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особливий порядок</w:t>
      </w:r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> відмови від прийняття спадщини:</w:t>
      </w:r>
    </w:p>
    <w:p w:rsidR="00792276" w:rsidRPr="00792276" w:rsidRDefault="00792276" w:rsidP="00792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Фізична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особа, цивільна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дієздатність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якої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обмежена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може відмовитися від прийняття спадщини за згодою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піклувальника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і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піклування.</w:t>
      </w:r>
    </w:p>
    <w:p w:rsidR="00792276" w:rsidRPr="00792276" w:rsidRDefault="00792276" w:rsidP="00792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Неповнолітня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 віком від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чотирнадцяти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вісімнадцяти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років може відмовитися від прийняття спадщини за згодою батьків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усиновлювачів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піклувальника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і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піклування.</w:t>
      </w:r>
    </w:p>
    <w:p w:rsidR="00792276" w:rsidRPr="00792276" w:rsidRDefault="00792276" w:rsidP="007922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Батьки (усиновлювачі),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опікун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можуть відмовитися від прийняття спадщини,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належної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малолітній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недієздатній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особі, лише з дозволу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1273 </w:t>
      </w:r>
      <w:hyperlink r:id="rId7" w:history="1"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>[1]</w:t>
        </w:r>
        <w:proofErr w:type="spellStart"/>
      </w:hyperlink>
      <w:hyperlink r:id="rId8" w:anchor="Text" w:history="1"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>Цивільного</w:t>
        </w:r>
        <w:proofErr w:type="spellEnd"/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кодексу України</w:t>
        </w:r>
      </w:hyperlink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передбачає та встановлює ряд правил для відмови від прийняття спадщини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неповнолітніми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малолітніми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недієздатними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обмежено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дієздатними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) особами, а саме: -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фізична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особа, цивільна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дієздатність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якої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обмежена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може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відмовитись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 прийняття спадщини за згодою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піклувальника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і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піклування; -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неповнолітня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 віком від 14 до 18 років може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відмовитись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 прийняття спадщини за згодою батьків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усиновлювачів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піклувальника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і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піклування; - батьки (усиновлювачі),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опікун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можуть відмовитися від прийняття спадщини,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належної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малолітній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дитині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лише з дозволу органу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піклування.</w:t>
      </w:r>
    </w:p>
    <w:p w:rsidR="00792276" w:rsidRPr="00792276" w:rsidRDefault="00792276" w:rsidP="00792276">
      <w:pPr>
        <w:spacing w:after="0"/>
        <w:ind w:firstLine="85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Важливо!</w:t>
      </w:r>
    </w:p>
    <w:p w:rsidR="00792276" w:rsidRPr="00792276" w:rsidRDefault="00792276" w:rsidP="00792276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Відмова від прийняття спадщини є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безумовною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беззастережною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2276" w:rsidRDefault="00792276" w:rsidP="00792276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Відмова від прийняття спадщини може бути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відкликана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протягом строку, встановленого для</w:t>
      </w:r>
      <w:bookmarkStart w:id="0" w:name="_GoBack"/>
      <w:bookmarkEnd w:id="0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її прийняття'.</w:t>
      </w:r>
    </w:p>
    <w:p w:rsidR="00792276" w:rsidRPr="00792276" w:rsidRDefault="00792276" w:rsidP="0079227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sz w:val="24"/>
          <w:szCs w:val="24"/>
        </w:rPr>
        <w:t>Види відмови від прийняття спадщини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i/>
          <w:sz w:val="24"/>
          <w:szCs w:val="24"/>
        </w:rPr>
        <w:t>Відмова від спадщини за заповітом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Частиною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першою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статті 1274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передбачено, що спадкоємець за заповітом має право відмовитися від прийняття спадщини на користь </w:t>
      </w:r>
      <w:r w:rsidRPr="007922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іншого спадкоємця за заповітом. До спадкування за заповітом можуть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запрошуватися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не тільки спадкоємці, які зазначені в заповіті, а й спадкоємці за правом 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обов'язкову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частку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i/>
          <w:sz w:val="24"/>
          <w:szCs w:val="24"/>
        </w:rPr>
        <w:t>Відмова від спадщини за законом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Спадкоємець за законом має право відмовитися від прийняття спадщини на користь будь-кого із спадкоємців за законом незалежно від черги (частина друга статті 1274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Спадкоємець має право відмовитися від частки у спадщині спадкоємця, який відмовився від спадщини на його користь (частина третя статті 1274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прийняття спадщини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судом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>недійсною</w:t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з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підстав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встановлених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225, 229-231 і 233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спадщини може бути як на користь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конкретної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особи спадкоємця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адресна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відмова), так і без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зазначення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такої особи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безадресна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). 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залежності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 виду відмови її правові наслідки є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відмінними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: - у разі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безадресної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відмови від прийняття спадщини одним із спадкоємців за законом із черги, яка закликана до спадкування, частка у спадщини, яку він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прийняти, переходить до інших спадкоємців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тієї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ж черги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порівну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; - у випадку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адресної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відмови частка, від якої відмовився спадкоємець, переходить до того чи тих спадкоємців,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вказаних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ним у заяві. Крім того, у випадку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адресної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відмови 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свідоцтві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про право на спадщину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відображається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частка, від якої відмовився спадкоємець.</w:t>
      </w:r>
    </w:p>
    <w:p w:rsidR="00792276" w:rsidRPr="00792276" w:rsidRDefault="00792276" w:rsidP="00792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Відкликання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відмови від прийняття спадщини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прийняття спадщини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відкликана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 </w:t>
      </w:r>
      <w:r w:rsidRPr="00792276">
        <w:rPr>
          <w:rFonts w:ascii="Times New Roman" w:hAnsi="Times New Roman" w:cs="Times New Roman"/>
          <w:bCs/>
          <w:sz w:val="24"/>
          <w:szCs w:val="24"/>
          <w:u w:val="single"/>
        </w:rPr>
        <w:t>протягом строку</w:t>
      </w:r>
      <w:r w:rsidRPr="00792276">
        <w:rPr>
          <w:rFonts w:ascii="Times New Roman" w:hAnsi="Times New Roman" w:cs="Times New Roman"/>
          <w:bCs/>
          <w:sz w:val="24"/>
          <w:szCs w:val="24"/>
        </w:rPr>
        <w:t>, встановленого для її прийняття відповідно до статті 1270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sz w:val="24"/>
          <w:szCs w:val="24"/>
        </w:rPr>
        <w:t>Визнання відмови від спадщини недійсною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Частиною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першою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статті 1273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визначено, що відмова від спадщини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здійснена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тільки протягом шести місяців з дня відкриття спадщини.</w:t>
      </w:r>
    </w:p>
    <w:p w:rsid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Статтею 1244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передбачено право спадкодавця 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підпризначення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спадкоємця 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випадок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неприйняття спадщини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спад</w:t>
      </w:r>
      <w:r>
        <w:rPr>
          <w:rFonts w:ascii="Times New Roman" w:hAnsi="Times New Roman" w:cs="Times New Roman"/>
          <w:bCs/>
          <w:sz w:val="24"/>
          <w:szCs w:val="24"/>
        </w:rPr>
        <w:t>коємцем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зазначеним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заповіті.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Частиною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четвертою статті 1274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передбачено, якщо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заповідач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підпризначив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спадкоємця, особа, на ім'я якої складений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заповіт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може відмовитися від спадщини лише на користь особи, яка є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підпризначеним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спадкоємцем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спадщини -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односторонній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недійсність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якого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на загальних підставах у порядку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судочинства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До таких 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підстав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слід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віднести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276" w:rsidRPr="00792276" w:rsidRDefault="00792276" w:rsidP="007922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276">
        <w:rPr>
          <w:rFonts w:ascii="Times New Roman" w:hAnsi="Times New Roman" w:cs="Times New Roman"/>
          <w:bCs/>
          <w:sz w:val="24"/>
          <w:szCs w:val="24"/>
        </w:rPr>
        <w:t>відмову</w:t>
      </w:r>
      <w:proofErr w:type="gram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була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здійснена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фізичною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особою, яка у момент такої відмови не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усвідомлювала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значення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(або) не могла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керувати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ними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225 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). Така відмова від спадщини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судом недійсною за позовом 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самої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особи</w:t>
      </w:r>
      <w:r w:rsidRPr="00792276">
        <w:rPr>
          <w:rFonts w:ascii="Times New Roman" w:hAnsi="Times New Roman" w:cs="Times New Roman"/>
          <w:bCs/>
          <w:sz w:val="24"/>
          <w:szCs w:val="24"/>
        </w:rPr>
        <w:t>, а у разі її смерті - за позовом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>інших осіб</w:t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чиї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цивільні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права або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інтереси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порушено.</w:t>
      </w:r>
    </w:p>
    <w:p w:rsidR="00792276" w:rsidRPr="00792276" w:rsidRDefault="00792276" w:rsidP="007922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276">
        <w:rPr>
          <w:rFonts w:ascii="Times New Roman" w:hAnsi="Times New Roman" w:cs="Times New Roman"/>
          <w:bCs/>
          <w:sz w:val="24"/>
          <w:szCs w:val="24"/>
        </w:rPr>
        <w:t>якщо</w:t>
      </w:r>
      <w:proofErr w:type="gram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особа, яка вчинила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, 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помилилася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щодо обставин, які мають істотне значення</w:t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такий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визнаний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судом недійсним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229 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Pr="00792276" w:rsidRDefault="00792276" w:rsidP="007922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276">
        <w:rPr>
          <w:rFonts w:ascii="Times New Roman" w:hAnsi="Times New Roman" w:cs="Times New Roman"/>
          <w:bCs/>
          <w:sz w:val="24"/>
          <w:szCs w:val="24"/>
        </w:rPr>
        <w:t>якщо</w:t>
      </w:r>
      <w:proofErr w:type="gram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одна із сторін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навмисно ввела другу сторону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оману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 щодо обставин, які мають істотне значення (частина перша статті 229 </w:t>
      </w:r>
      <w:hyperlink r:id="rId9" w:history="1">
        <w:proofErr w:type="spellStart"/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>Цивільного</w:t>
        </w:r>
        <w:proofErr w:type="spellEnd"/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кодексу України</w:t>
        </w:r>
      </w:hyperlink>
      <w:r w:rsidRPr="0079227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такий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визнається судом недійсним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230 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Pr="00792276" w:rsidRDefault="00792276" w:rsidP="007922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</w:t>
      </w:r>
      <w:proofErr w:type="spellEnd"/>
      <w:proofErr w:type="gram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вчинений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особою проти її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справжньої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волі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застосування до неї фізичного чи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психічного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тиску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 з боку другої сторони або з боку іншої особи, визнається судом недійсним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231 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Pr="00792276" w:rsidRDefault="00792276" w:rsidP="0079227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92276">
        <w:rPr>
          <w:rFonts w:ascii="Times New Roman" w:hAnsi="Times New Roman" w:cs="Times New Roman"/>
          <w:bCs/>
          <w:sz w:val="24"/>
          <w:szCs w:val="24"/>
        </w:rPr>
        <w:lastRenderedPageBreak/>
        <w:t>правочин</w:t>
      </w:r>
      <w:proofErr w:type="spellEnd"/>
      <w:proofErr w:type="gramEnd"/>
      <w:r w:rsidRPr="00792276">
        <w:rPr>
          <w:rFonts w:ascii="Times New Roman" w:hAnsi="Times New Roman" w:cs="Times New Roman"/>
          <w:bCs/>
          <w:sz w:val="24"/>
          <w:szCs w:val="24"/>
        </w:rPr>
        <w:t>, який вчинено особою </w:t>
      </w:r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під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впливом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тяжкої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для неї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і на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вкрай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невигідних</w:t>
      </w:r>
      <w:proofErr w:type="spellEnd"/>
      <w:r w:rsidRPr="00792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/>
          <w:bCs/>
          <w:sz w:val="24"/>
          <w:szCs w:val="24"/>
        </w:rPr>
        <w:t>умовах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може бути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визнаний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судом недійсним незалежно від того,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хто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був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ініціатором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такого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правочину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233 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Частина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п'ята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статті 1274 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92276">
        <w:rPr>
          <w:rFonts w:ascii="Times New Roman" w:hAnsi="Times New Roman" w:cs="Times New Roman"/>
          <w:bCs/>
          <w:sz w:val="24"/>
          <w:szCs w:val="24"/>
        </w:rPr>
        <w:instrText xml:space="preserve"> HYPERLINK "http://zakon3.rada.gov.ua/laws/show/435-15" </w:instrTex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7922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кодексу України</w:t>
      </w:r>
      <w:r w:rsidRPr="0079227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передбачає, що можливість визнання судом недійсною відмови від прийняття спадщини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свідчить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про особливий статус такої відмови.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Загалом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відмова від спадщини без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зазначення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суб'єкта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на користь якого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зроблена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відмова, повинна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набирати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чинності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після закінченн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строку на прийняття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спадщини.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Даною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статтею не встановлено, коли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отримує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право на спадкування особа, на користь якої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зроблено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відмову. Тому можна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стверджувати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що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безадресна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відмова від спадщини може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визнаватися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судом недійсною лише після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спливу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шести місяців,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оскільки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протягом шести місяців особа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вправі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відкликати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свою відмову від прийняття спадщини.</w:t>
      </w:r>
    </w:p>
    <w:p w:rsidR="00792276" w:rsidRPr="00792276" w:rsidRDefault="00792276" w:rsidP="007922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загальним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правилом, прийняття спадщини органами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 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інтересах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недієздатних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осіб, а коли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дитина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особисто відмовляється від прийняття спадщини,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продавати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належне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їй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за правом спадкування майно і гроші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класти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на її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особовий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рахунок до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досягнення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повноліття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набуття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дієздатності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. Такий порядок дозволить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гарантувати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сприятливе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для інтересів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вирішення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ситуації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надасть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можливість в майбутньому повністю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дієздатній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вирішувати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долю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спадкової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частки.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Фактично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недієздатна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пропонуватиме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органам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опіки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та піклування надати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дозвіл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на передачу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власного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іншій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особі.</w:t>
      </w:r>
    </w:p>
    <w:p w:rsidR="00792276" w:rsidRPr="00792276" w:rsidRDefault="00792276" w:rsidP="00792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76">
        <w:rPr>
          <w:rFonts w:ascii="Times New Roman" w:hAnsi="Times New Roman" w:cs="Times New Roman"/>
          <w:b/>
          <w:bCs/>
          <w:sz w:val="24"/>
          <w:szCs w:val="24"/>
        </w:rPr>
        <w:t>Правові наслідки відмови від прийняття спадщини</w:t>
      </w:r>
    </w:p>
    <w:p w:rsidR="00792276" w:rsidRPr="00792276" w:rsidRDefault="00792276" w:rsidP="007922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прийняття спадщини одного із спадкоємців за заповітом, частка у спадщині, яку він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право прийняти, переходить до інших спадкоємців за заповітом 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розподіляється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між ними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порівну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від прийняття спадщини одного із спадкоємців за законом з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тієї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черги, яка має право на спадкування, частка у спадщині, яку він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мав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право прийняти, переходить до інших спадкоємців за законом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тієї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ж черги 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розподіляється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між ними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порівну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Положення </w:t>
      </w:r>
      <w:hyperlink r:id="rId10" w:history="1"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статті 1275 </w:t>
        </w:r>
        <w:proofErr w:type="spellStart"/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>Цивільного</w:t>
        </w:r>
        <w:proofErr w:type="spellEnd"/>
        <w:r w:rsidRPr="0079227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кодексу України</w:t>
        </w:r>
      </w:hyperlink>
      <w:r w:rsidRPr="00792276">
        <w:rPr>
          <w:rFonts w:ascii="Times New Roman" w:hAnsi="Times New Roman" w:cs="Times New Roman"/>
          <w:bCs/>
          <w:sz w:val="24"/>
          <w:szCs w:val="24"/>
        </w:rPr>
        <w:t xml:space="preserve"> не застосовуються, якщо спадкоємець відмовився від прийняття спадщини на користь іншого спадкоємця, а також коли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заповідач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підпризначив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іншого спадкоємця.</w:t>
      </w:r>
    </w:p>
    <w:p w:rsidR="00792276" w:rsidRPr="00792276" w:rsidRDefault="00792276" w:rsidP="007922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 xml:space="preserve">Відмова спадкоємця за заповітом, який відмовився від прийняття спадщини, було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покладено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заповідальний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відказ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, обов'язок за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заповідальним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відказом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переходить до інших спадкоємців за заповітом, які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прийняли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спадщину, і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розподіляється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 xml:space="preserve"> між ними </w:t>
      </w:r>
      <w:proofErr w:type="spellStart"/>
      <w:r w:rsidRPr="00792276">
        <w:rPr>
          <w:rFonts w:ascii="Times New Roman" w:hAnsi="Times New Roman" w:cs="Times New Roman"/>
          <w:bCs/>
          <w:sz w:val="24"/>
          <w:szCs w:val="24"/>
        </w:rPr>
        <w:t>порівну</w:t>
      </w:r>
      <w:proofErr w:type="spellEnd"/>
      <w:r w:rsidRPr="0079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276" w:rsidRPr="00792276" w:rsidRDefault="00792276" w:rsidP="0079227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6">
        <w:rPr>
          <w:rFonts w:ascii="Times New Roman" w:hAnsi="Times New Roman" w:cs="Times New Roman"/>
          <w:bCs/>
          <w:sz w:val="24"/>
          <w:szCs w:val="24"/>
        </w:rPr>
        <w:t>Відмова спадкоємця за заповітом від прийняття спадщини не позбавляє його права на спадкування за законом.</w:t>
      </w:r>
    </w:p>
    <w:p w:rsidR="00B71836" w:rsidRPr="00B71836" w:rsidRDefault="00B71836" w:rsidP="007922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</w:t>
      </w:r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посиланням: </w:t>
      </w:r>
      <w:hyperlink r:id="rId11" w:history="1">
        <w:r w:rsidR="00BE57B7" w:rsidRPr="00BC0C5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https://www.legalaid.gov.ua/kontakty/local-centers</w:t>
        </w:r>
      </w:hyperlink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2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 w:rsidSect="009C2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765"/>
    <w:multiLevelType w:val="multilevel"/>
    <w:tmpl w:val="ADE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900AF"/>
    <w:multiLevelType w:val="hybridMultilevel"/>
    <w:tmpl w:val="E4E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FDF"/>
    <w:multiLevelType w:val="multilevel"/>
    <w:tmpl w:val="AA2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D76361"/>
    <w:multiLevelType w:val="multilevel"/>
    <w:tmpl w:val="9FA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8E380A"/>
    <w:multiLevelType w:val="multilevel"/>
    <w:tmpl w:val="B08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90A6A"/>
    <w:multiLevelType w:val="multilevel"/>
    <w:tmpl w:val="6C0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381B0E"/>
    <w:multiLevelType w:val="multilevel"/>
    <w:tmpl w:val="62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B16F90"/>
    <w:multiLevelType w:val="multilevel"/>
    <w:tmpl w:val="8C4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46D10"/>
    <w:multiLevelType w:val="multilevel"/>
    <w:tmpl w:val="BCD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93AC5"/>
    <w:multiLevelType w:val="multilevel"/>
    <w:tmpl w:val="B5D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C4B2A"/>
    <w:multiLevelType w:val="multilevel"/>
    <w:tmpl w:val="82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C6814"/>
    <w:multiLevelType w:val="multilevel"/>
    <w:tmpl w:val="11D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5C08DA"/>
    <w:multiLevelType w:val="multilevel"/>
    <w:tmpl w:val="6FF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7C5C03"/>
    <w:multiLevelType w:val="multilevel"/>
    <w:tmpl w:val="553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0518C6"/>
    <w:multiLevelType w:val="multilevel"/>
    <w:tmpl w:val="0D0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D3143B"/>
    <w:multiLevelType w:val="multilevel"/>
    <w:tmpl w:val="BF02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56659"/>
    <w:multiLevelType w:val="multilevel"/>
    <w:tmpl w:val="71F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362ED"/>
    <w:multiLevelType w:val="multilevel"/>
    <w:tmpl w:val="F9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7864E5"/>
    <w:multiLevelType w:val="multilevel"/>
    <w:tmpl w:val="F9D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E254C0"/>
    <w:multiLevelType w:val="multilevel"/>
    <w:tmpl w:val="065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2"/>
  </w:num>
  <w:num w:numId="4">
    <w:abstractNumId w:val="29"/>
  </w:num>
  <w:num w:numId="5">
    <w:abstractNumId w:val="9"/>
  </w:num>
  <w:num w:numId="6">
    <w:abstractNumId w:val="22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6"/>
  </w:num>
  <w:num w:numId="14">
    <w:abstractNumId w:val="24"/>
  </w:num>
  <w:num w:numId="15">
    <w:abstractNumId w:val="8"/>
  </w:num>
  <w:num w:numId="16">
    <w:abstractNumId w:val="4"/>
  </w:num>
  <w:num w:numId="17">
    <w:abstractNumId w:val="25"/>
  </w:num>
  <w:num w:numId="18">
    <w:abstractNumId w:val="20"/>
  </w:num>
  <w:num w:numId="19">
    <w:abstractNumId w:val="27"/>
  </w:num>
  <w:num w:numId="20">
    <w:abstractNumId w:val="5"/>
  </w:num>
  <w:num w:numId="21">
    <w:abstractNumId w:val="6"/>
  </w:num>
  <w:num w:numId="22">
    <w:abstractNumId w:val="18"/>
  </w:num>
  <w:num w:numId="23">
    <w:abstractNumId w:val="2"/>
  </w:num>
  <w:num w:numId="24">
    <w:abstractNumId w:val="13"/>
  </w:num>
  <w:num w:numId="25">
    <w:abstractNumId w:val="10"/>
  </w:num>
  <w:num w:numId="26">
    <w:abstractNumId w:val="19"/>
  </w:num>
  <w:num w:numId="27">
    <w:abstractNumId w:val="21"/>
  </w:num>
  <w:num w:numId="28">
    <w:abstractNumId w:val="23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11709C"/>
    <w:rsid w:val="001D489F"/>
    <w:rsid w:val="003B144D"/>
    <w:rsid w:val="00532DD2"/>
    <w:rsid w:val="00593E71"/>
    <w:rsid w:val="00601A40"/>
    <w:rsid w:val="00640650"/>
    <w:rsid w:val="0064085C"/>
    <w:rsid w:val="00792276"/>
    <w:rsid w:val="007A69F6"/>
    <w:rsid w:val="007F4622"/>
    <w:rsid w:val="009C2F55"/>
    <w:rsid w:val="00A66D49"/>
    <w:rsid w:val="00B01DC7"/>
    <w:rsid w:val="00B71836"/>
    <w:rsid w:val="00BD6ED0"/>
    <w:rsid w:val="00BE57B7"/>
    <w:rsid w:val="00DD36CE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435-15" TargetMode="External"/><Relationship Id="rId12" Type="http://schemas.openxmlformats.org/officeDocument/2006/relationships/hyperlink" Target="http://wiki.legalaid.gov.ua/index.php/%D0%93%D0%BE%D0%BB%D0%BE%D0%B2%D0%BD%D0%B0_%D1%81%D1%82%D0%BE%D1%80%D1%96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egalaid.gov.ua/kontakty/local-centers" TargetMode="External"/><Relationship Id="rId5" Type="http://schemas.openxmlformats.org/officeDocument/2006/relationships/hyperlink" Target="mailto:mykolaiv1.mykolaiv@legalaid.mk.ua" TargetMode="External"/><Relationship Id="rId10" Type="http://schemas.openxmlformats.org/officeDocument/2006/relationships/hyperlink" Target="http://zakon3.rada.gov.ua/laws/show/43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3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2021-09-13T07:03:00Z</dcterms:created>
  <dcterms:modified xsi:type="dcterms:W3CDTF">2021-09-13T07:08:00Z</dcterms:modified>
</cp:coreProperties>
</file>