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200" w:rsidRPr="002A4200" w:rsidRDefault="002A4200" w:rsidP="002A4200">
      <w:pPr>
        <w:shd w:val="clear" w:color="auto" w:fill="FFFFFF"/>
        <w:spacing w:after="375" w:line="240" w:lineRule="auto"/>
        <w:outlineLvl w:val="0"/>
        <w:rPr>
          <w:rFonts w:ascii="Roboto" w:eastAsia="Times New Roman" w:hAnsi="Roboto" w:cs="Times New Roman"/>
          <w:b/>
          <w:bCs/>
          <w:color w:val="000000"/>
          <w:kern w:val="36"/>
          <w:sz w:val="45"/>
          <w:szCs w:val="45"/>
          <w:lang w:eastAsia="uk-UA"/>
        </w:rPr>
      </w:pPr>
      <w:r w:rsidRPr="002A4200">
        <w:rPr>
          <w:rFonts w:ascii="Roboto" w:eastAsia="Times New Roman" w:hAnsi="Roboto" w:cs="Times New Roman"/>
          <w:b/>
          <w:bCs/>
          <w:color w:val="000000"/>
          <w:kern w:val="36"/>
          <w:sz w:val="45"/>
          <w:szCs w:val="45"/>
          <w:lang w:eastAsia="uk-UA"/>
        </w:rPr>
        <w:t>Основні поняття системи НАССР: 7 кроків, 12 принципів</w:t>
      </w:r>
    </w:p>
    <w:p w:rsidR="002A4200" w:rsidRPr="002A4200" w:rsidRDefault="00A828D1" w:rsidP="002A4200">
      <w:pPr>
        <w:spacing w:before="300" w:after="300" w:line="240" w:lineRule="auto"/>
        <w:rPr>
          <w:rFonts w:ascii="Times New Roman" w:eastAsia="Times New Roman" w:hAnsi="Times New Roman" w:cs="Times New Roman"/>
          <w:sz w:val="24"/>
          <w:szCs w:val="24"/>
          <w:lang w:eastAsia="uk-UA"/>
        </w:rPr>
      </w:pPr>
      <w:r w:rsidRPr="00A828D1">
        <w:rPr>
          <w:rFonts w:ascii="Times New Roman" w:eastAsia="Times New Roman" w:hAnsi="Times New Roman" w:cs="Times New Roman"/>
          <w:sz w:val="24"/>
          <w:szCs w:val="24"/>
          <w:lang w:eastAsia="uk-UA"/>
        </w:rPr>
        <w:pict>
          <v:rect id="_x0000_i1025" style="width:0;height:.75pt" o:hralign="center" o:hrstd="t" o:hrnoshade="t" o:hr="t" fillcolor="#e5e5e5" stroked="f"/>
        </w:pict>
      </w:r>
    </w:p>
    <w:p w:rsidR="002A4200" w:rsidRDefault="002A4200" w:rsidP="002A4200">
      <w:pPr>
        <w:shd w:val="clear" w:color="auto" w:fill="FFFFFF"/>
        <w:spacing w:after="0" w:line="240" w:lineRule="auto"/>
        <w:jc w:val="both"/>
        <w:rPr>
          <w:rFonts w:ascii="Times New Roman" w:eastAsia="Times New Roman" w:hAnsi="Times New Roman" w:cs="Times New Roman"/>
          <w:color w:val="1D1D1B"/>
          <w:sz w:val="28"/>
          <w:szCs w:val="28"/>
          <w:bdr w:val="none" w:sz="0" w:space="0" w:color="auto" w:frame="1"/>
          <w:shd w:val="clear" w:color="auto" w:fill="FFFFFF"/>
          <w:lang w:eastAsia="uk-UA"/>
        </w:rPr>
      </w:pPr>
      <w:r w:rsidRPr="002A4200">
        <w:rPr>
          <w:rFonts w:ascii="Times New Roman" w:eastAsia="Times New Roman" w:hAnsi="Times New Roman" w:cs="Times New Roman"/>
          <w:noProof/>
          <w:color w:val="1D1D1B"/>
          <w:sz w:val="28"/>
          <w:szCs w:val="28"/>
          <w:bdr w:val="none" w:sz="0" w:space="0" w:color="auto" w:frame="1"/>
          <w:shd w:val="clear" w:color="auto" w:fill="FFFFFF"/>
          <w:lang w:eastAsia="uk-UA"/>
        </w:rPr>
        <w:drawing>
          <wp:inline distT="0" distB="0" distL="0" distR="0">
            <wp:extent cx="6120765" cy="3438525"/>
            <wp:effectExtent l="0" t="0" r="0" b="9525"/>
            <wp:docPr id="1" name="Рисунок 1" descr="Фото без опис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Фото без опису"/>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20765" cy="3438525"/>
                    </a:xfrm>
                    <a:prstGeom prst="rect">
                      <a:avLst/>
                    </a:prstGeom>
                    <a:noFill/>
                    <a:ln>
                      <a:noFill/>
                    </a:ln>
                  </pic:spPr>
                </pic:pic>
              </a:graphicData>
            </a:graphic>
          </wp:inline>
        </w:drawing>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Баштанське</w:t>
      </w:r>
      <w:proofErr w:type="spellEnd"/>
      <w:r w:rsidRPr="002A4200">
        <w:rPr>
          <w:rFonts w:ascii="Times New Roman" w:eastAsia="Times New Roman" w:hAnsi="Times New Roman" w:cs="Times New Roman"/>
          <w:color w:val="1D1D1B"/>
          <w:sz w:val="28"/>
          <w:szCs w:val="28"/>
          <w:bdr w:val="none" w:sz="0" w:space="0" w:color="auto" w:frame="1"/>
          <w:shd w:val="clear" w:color="auto" w:fill="FFFFFF"/>
          <w:lang w:eastAsia="uk-UA"/>
        </w:rPr>
        <w:t> </w:t>
      </w:r>
      <w:r>
        <w:rPr>
          <w:rFonts w:ascii="Times New Roman" w:eastAsia="Times New Roman" w:hAnsi="Times New Roman" w:cs="Times New Roman"/>
          <w:color w:val="1D1D1B"/>
          <w:sz w:val="28"/>
          <w:szCs w:val="28"/>
          <w:bdr w:val="none" w:sz="0" w:space="0" w:color="auto" w:frame="1"/>
          <w:shd w:val="clear" w:color="auto" w:fill="FFFFFF"/>
          <w:lang w:eastAsia="uk-UA"/>
        </w:rPr>
        <w:t xml:space="preserve">районне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управляння Головного управління Держпродспоживслужби в Миколаївській області повідомляє про наступне.</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Система НАССР (англійською мовою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Hazard</w:t>
      </w:r>
      <w:proofErr w:type="spellEnd"/>
      <w:r w:rsidRPr="002A4200">
        <w:rPr>
          <w:rFonts w:ascii="Roboto" w:eastAsia="Times New Roman" w:hAnsi="Roboto" w:cs="Times New Roman"/>
          <w:color w:val="000000"/>
          <w:sz w:val="21"/>
          <w:szCs w:val="21"/>
          <w:bdr w:val="none" w:sz="0" w:space="0" w:color="auto" w:frame="1"/>
          <w:shd w:val="clear" w:color="auto" w:fill="FFFFFF"/>
          <w:lang w:eastAsia="uk-UA"/>
        </w:rPr>
        <w:t>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Analysis</w:t>
      </w:r>
      <w:proofErr w:type="spellEnd"/>
      <w:r w:rsidRPr="002A4200">
        <w:rPr>
          <w:rFonts w:ascii="Roboto" w:eastAsia="Times New Roman" w:hAnsi="Roboto" w:cs="Times New Roman"/>
          <w:color w:val="000000"/>
          <w:sz w:val="21"/>
          <w:szCs w:val="21"/>
          <w:bdr w:val="none" w:sz="0" w:space="0" w:color="auto" w:frame="1"/>
          <w:shd w:val="clear" w:color="auto" w:fill="FFFFFF"/>
          <w:lang w:eastAsia="uk-UA"/>
        </w:rPr>
        <w:t>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and</w:t>
      </w:r>
      <w:proofErr w:type="spellEnd"/>
      <w:r w:rsidRPr="002A4200">
        <w:rPr>
          <w:rFonts w:ascii="Roboto" w:eastAsia="Times New Roman" w:hAnsi="Roboto" w:cs="Times New Roman"/>
          <w:color w:val="000000"/>
          <w:sz w:val="21"/>
          <w:szCs w:val="21"/>
          <w:bdr w:val="none" w:sz="0" w:space="0" w:color="auto" w:frame="1"/>
          <w:shd w:val="clear" w:color="auto" w:fill="FFFFFF"/>
          <w:lang w:eastAsia="uk-UA"/>
        </w:rPr>
        <w:t>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Critical</w:t>
      </w:r>
      <w:proofErr w:type="spellEnd"/>
      <w:r w:rsidRPr="002A4200">
        <w:rPr>
          <w:rFonts w:ascii="Roboto" w:eastAsia="Times New Roman" w:hAnsi="Roboto" w:cs="Times New Roman"/>
          <w:color w:val="000000"/>
          <w:sz w:val="21"/>
          <w:szCs w:val="21"/>
          <w:bdr w:val="none" w:sz="0" w:space="0" w:color="auto" w:frame="1"/>
          <w:shd w:val="clear" w:color="auto" w:fill="FFFFFF"/>
          <w:lang w:eastAsia="uk-UA"/>
        </w:rPr>
        <w:t>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Control</w:t>
      </w:r>
      <w:proofErr w:type="spellEnd"/>
      <w:r w:rsidRPr="002A4200">
        <w:rPr>
          <w:rFonts w:ascii="Roboto" w:eastAsia="Times New Roman" w:hAnsi="Roboto" w:cs="Times New Roman"/>
          <w:color w:val="000000"/>
          <w:sz w:val="21"/>
          <w:szCs w:val="21"/>
          <w:bdr w:val="none" w:sz="0" w:space="0" w:color="auto" w:frame="1"/>
          <w:shd w:val="clear" w:color="auto" w:fill="FFFFFF"/>
          <w:lang w:eastAsia="uk-UA"/>
        </w:rPr>
        <w:t>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Point</w:t>
      </w:r>
      <w:proofErr w:type="spellEnd"/>
      <w:r w:rsidRPr="002A4200">
        <w:rPr>
          <w:rFonts w:ascii="Times New Roman" w:eastAsia="Times New Roman" w:hAnsi="Times New Roman" w:cs="Times New Roman"/>
          <w:color w:val="1D1D1B"/>
          <w:sz w:val="28"/>
          <w:szCs w:val="28"/>
          <w:bdr w:val="none" w:sz="0" w:space="0" w:color="auto" w:frame="1"/>
          <w:shd w:val="clear" w:color="auto" w:fill="FFFFFF"/>
          <w:lang w:eastAsia="uk-UA"/>
        </w:rPr>
        <w:t>) – це дієвий інструмент управління безпечністю харчових продуктів, в основі якого лежить аналіз небезпечних чинників та контроль у критичних точках. Ця система ідентифікує, оцінює і контролює небезпечні чинники, що є визначальними для безпечності харчових продуктів. Вона використовується для забезпечення безпечності харчових продуктів протягом усього ланцюга виробництва й реалізації харчового продукту.</w:t>
      </w:r>
      <w:r w:rsidRPr="002A4200">
        <w:rPr>
          <w:rFonts w:ascii="Roboto" w:eastAsia="Times New Roman" w:hAnsi="Roboto" w:cs="Times New Roman"/>
          <w:color w:val="000000"/>
          <w:sz w:val="21"/>
          <w:szCs w:val="21"/>
          <w:bdr w:val="none" w:sz="0" w:space="0" w:color="auto" w:frame="1"/>
          <w:shd w:val="clear" w:color="auto" w:fill="FFFFFF"/>
          <w:lang w:eastAsia="uk-UA"/>
        </w:rPr>
        <w:t> </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Хибно вважати, що система НАССР потрібна лише виробникам харчових продуктів. Законом України «Про основні принципи та вимоги до безпечності та якості харчових продуктів» (ст. 20) визначений обов’язок оператора ринку розробляти, вводити в дію та застосовувати постійно діючі процедури, засновані на принципах системи аналізу небезпечних чинників та контролю у критичних точках. У ст. 21 цього закону є виключення, зокрема вимога щодо застосування системи НАССР не поширюється на операторів ринку, що здійснюють первинне виробництво (виробництво та вирощування продукції, у тому числі збір врожаю, доїння, розведення тварин до моменту забою, полювання на тварин, рибальство та збір врожаю диких рослин), а також пов’язану із цим діяльність таку, як транспортування, зберігання та обробку первинної продукції в місці первинного виробництва тощо.</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lastRenderedPageBreak/>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Отже, система НАССР повинна бути впроваджена й у закладах громадського харчування, і в закладах роздрібної чи гуртової торгівлі, на виробничих потужностях, потужностях зі зберігання чи транспортування харчових продуктів тощо.</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Система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НАССР</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охоплює</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всі</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потенційні</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ризики, що</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можуть</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впливати</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на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безпечність</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харчової</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продукції (біологічні, фізичні, хімічні</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та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алергени), поява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яких</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може</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бути</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пов’язана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із</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природою</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харчового</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продукту, навколишнім</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середовищем</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або</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як</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результат</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відхилень</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у</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технологічному</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процесі</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виробництва. Ця система розробляється саме для безпечності харчових продуктів і не стосується їх якості, хоча може бути сумісна з іншими системами управління якістю і як результат – представлення на ринку харчових продуктів, що задовольняють очікування споживачів.</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Слід розуміти, що система НАССР не є автономною. Без надійного підґрунтя у вигляді впроваджених програм-передумов, належної виробничої практики система НАССР не буде ефективною.</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Це запобіжний інструмент контролювання небезпечних чинників, а не засіб реагування на їх виникнення. До того ж, система НАССР не знижує ризики, створені небезпечними чинниками, до нуля, вона розробляється для мінімізації ризику від потенційних небезпечних чинників у харчових продуктах. Ця система змінює акценти, зосереджуючи увагу не на контролі кінцевого харчового продукту, а на етапах його виробництва. Дає відповіді на питання – що може бути шкідливим у харчовому продукті чи у процесі його виробництва і на якому етапі це може відбутися.</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Отже, перш ніж переходити до застосування принципів системи НАССР, маємо здійснити ряд підготовчих кроків, які дадуть нам вхідні дані для подальших досліджень цієї системи.</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1. Створення групи НАССР.</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Керівництво підприємства повинно зібрати групу фахівців, які володіють конкретними знаннями про технологічний процес виробництва харчових продуктів, має відповідний практичний досвід, досконало знають продукт, що виробляється. До групи НАССР також можуть бути включені зовнішні консультанти. Саме група НАССР несе відповідальність за розроблення плану НАССР.</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     Крок 2. Опис продукту.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Щоб провести в подальшому аналіз небезпечних чинників, має бути підготовлений опис кінцевого харчового продукту.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Повний опис харчового продукту повинен містити інформацію, яка стосується його безпечності. Допускається в одному описі групувати декілька позицій харчових продуктів, які несуттєво відрізняються за характеристиками, за умови, що інформація стосовно безпечності кожної позиції буде представлена. Цей документ повинен підтримуватись в актуальному варіанті.</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     Крок 3. Визначення передбачуваного способу споживання продукту.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xml:space="preserve">Групою НАССР визначається правильний і передбачуваний спосіб споживання та використання харчового продукту споживачами, для яких цей продукт призначений. Інформація про те, чи буде в подальшому продукт піддаватись додатковій обробці споживачем чи харчовий продукт готовий до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lastRenderedPageBreak/>
        <w:t>споживання, матиме відношення до аналізу небезпек. Чим менше очікується оброблення харчового продукту кінцевим споживачем, тим вища відповідальність виробника. Цільова група споживачів також має значення, особливо коли враховує чуттєву групу споживачів, наприклад, дітей та осіб похилого віку.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     Крок 4. Розроблення блок-схеми технологічного процесу.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Група НАССР розробляє блок-схему технологічного процесу, яка дає чітку і зрозумілу картину всіх етапів виготовлення харчової продукції. Зазвичай, це графічне зображення послідовних етапів, починаючи від приймання сировини й закінчуючи відвантаженням чи реалізацією кінцевого продукту.</w:t>
      </w:r>
      <w:r w:rsidRPr="002A4200">
        <w:rPr>
          <w:rFonts w:ascii="Roboto" w:eastAsia="Times New Roman" w:hAnsi="Roboto" w:cs="Times New Roman"/>
          <w:color w:val="000000"/>
          <w:sz w:val="21"/>
          <w:szCs w:val="21"/>
          <w:bdr w:val="none" w:sz="0" w:space="0" w:color="auto" w:frame="1"/>
          <w:shd w:val="clear" w:color="auto" w:fill="FFFFFF"/>
          <w:lang w:eastAsia="uk-UA"/>
        </w:rPr>
        <w:t>    </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Блок-схема може розроблятись як на кожен харчовий продукт (переважно для виробничих потужностей), так і для групи страв чи харчових продуктів (для закладів громадського харчування та торгівлі).</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5. Перевірка блок-схеми технологічного процесу.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Для підтвердження правильності складання блок-схеми технологічного процесу група НАССР повинна перевірити її безпосередньо на підприємстві. </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У разі виявлення некоректного відображення технологічного процесу – внести зміни до блок-схеми та повторно її перевірити.</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6 (Принцип 1).</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Аналіз небезпечних чинників.</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Ефективна ідентифікація та</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аналіз</w:t>
      </w: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небезпечних чинників є ключовим моментом для подальшого розроблення плану НАССР. Для його проведення може застосовуватись так званий</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color w:val="1D1D1B"/>
          <w:sz w:val="28"/>
          <w:szCs w:val="28"/>
          <w:bdr w:val="none" w:sz="0" w:space="0" w:color="auto" w:frame="1"/>
          <w:shd w:val="clear" w:color="auto" w:fill="FFFFFF"/>
          <w:lang w:eastAsia="uk-UA"/>
        </w:rPr>
        <w:t>«мозковий штурм», коли кожен із членів групи НАССР висловлює своє бачення небезпек, пов’язаних із харчовим продуктом чи його виробництвом.</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Після ідентифікації всіх небезпек проводиться їх аналіз, щоб зрозуміти ризик, пов’язаний із цією небезпекою. Під час аналізу враховують, які заходи контролю можна застосувати для запобігання виникненню, для зменшення до прийнятного рівня або усунення небезпечного чинника та на якому з етапів це можна зробити.</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     Крок 7 (Принцип 2).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Визначення критичних контрольних точок.</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На цьому етапі розроблення системи НАССР проводиться визначення точок (місць), які необхідно контролювати для усунення суттєвих небезпечних чинників або мінімізації ймовірності їх виникнення. Для полегшення завдання рекомендується застосовувати так зване «дерево рішень» – послідовність питань, які допомагають визначити ККТ.</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8 (Принцип 3).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Установлення критичних меж.</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Для кожної критичної контрольної точки повинні бути встановлені критичні межі – крайні прийнятні значення (показники), що відділяють випуск безпечного харчового продукту від небезпечного.</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9 (Принцип 4)</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Встановлення процедур моніторингу.</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Для кожної критичної контрольної точки повинна бути розроблена система моніторингу (контролю) з визначеною періодичністю та зазначенням відповідальної за моніторинг особи.</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Крок 10 (Принцип 5).</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Коригувальні дії.</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Група НАССР завчасно розробляє коригувальні дії для кожної критичної контрольної точки, які можна негайно застосувати в разі, коли дані моніторингу свідчать про відхилення від критичних меж.</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lastRenderedPageBreak/>
        <w:t>     Крок 11 (Принцип 6). Верифікація (перевірка).</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xml:space="preserve">Перевірка, що система НАССР працює правильно й ефективно. Елементом верифікації є </w:t>
      </w:r>
      <w:proofErr w:type="spellStart"/>
      <w:r w:rsidRPr="002A4200">
        <w:rPr>
          <w:rFonts w:ascii="Times New Roman" w:eastAsia="Times New Roman" w:hAnsi="Times New Roman" w:cs="Times New Roman"/>
          <w:color w:val="1D1D1B"/>
          <w:sz w:val="28"/>
          <w:szCs w:val="28"/>
          <w:bdr w:val="none" w:sz="0" w:space="0" w:color="auto" w:frame="1"/>
          <w:shd w:val="clear" w:color="auto" w:fill="FFFFFF"/>
          <w:lang w:eastAsia="uk-UA"/>
        </w:rPr>
        <w:t>валідація</w:t>
      </w:r>
      <w:proofErr w:type="spellEnd"/>
      <w:r w:rsidRPr="002A4200">
        <w:rPr>
          <w:rFonts w:ascii="Times New Roman" w:eastAsia="Times New Roman" w:hAnsi="Times New Roman" w:cs="Times New Roman"/>
          <w:color w:val="1D1D1B"/>
          <w:sz w:val="28"/>
          <w:szCs w:val="28"/>
          <w:bdr w:val="none" w:sz="0" w:space="0" w:color="auto" w:frame="1"/>
          <w:shd w:val="clear" w:color="auto" w:fill="FFFFFF"/>
          <w:lang w:eastAsia="uk-UA"/>
        </w:rPr>
        <w:t>.</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Times New Roman" w:eastAsia="Times New Roman" w:hAnsi="Times New Roman" w:cs="Times New Roman"/>
          <w:b/>
          <w:bCs/>
          <w:color w:val="1D1D1B"/>
          <w:sz w:val="28"/>
          <w:szCs w:val="28"/>
          <w:bdr w:val="none" w:sz="0" w:space="0" w:color="auto" w:frame="1"/>
          <w:shd w:val="clear" w:color="auto" w:fill="FFFFFF"/>
          <w:lang w:eastAsia="uk-UA"/>
        </w:rPr>
        <w:t>      Крок 12 (Принцип 7). Документування.</w:t>
      </w:r>
    </w:p>
    <w:p w:rsidR="002A4200" w:rsidRPr="002A4200" w:rsidRDefault="002A4200" w:rsidP="002A4200">
      <w:pPr>
        <w:shd w:val="clear" w:color="auto" w:fill="FFFFFF"/>
        <w:spacing w:after="0"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bdr w:val="none" w:sz="0" w:space="0" w:color="auto" w:frame="1"/>
          <w:shd w:val="clear" w:color="auto" w:fill="FFFFFF"/>
          <w:lang w:eastAsia="uk-UA"/>
        </w:rPr>
        <w:t>      </w:t>
      </w:r>
      <w:r w:rsidRPr="002A4200">
        <w:rPr>
          <w:rFonts w:ascii="Times New Roman" w:eastAsia="Times New Roman" w:hAnsi="Times New Roman" w:cs="Times New Roman"/>
          <w:color w:val="1D1D1B"/>
          <w:sz w:val="28"/>
          <w:szCs w:val="28"/>
          <w:bdr w:val="none" w:sz="0" w:space="0" w:color="auto" w:frame="1"/>
          <w:shd w:val="clear" w:color="auto" w:fill="FFFFFF"/>
          <w:lang w:eastAsia="uk-UA"/>
        </w:rPr>
        <w:t> Процедура ведення записів та документації, що має відповідати розміру потужності, особливостям технологічних процесів та давати змогу оператору ринку перевіряти впровадження та дієвість заходів із контролю, передбачених системою НАССР.   </w:t>
      </w:r>
    </w:p>
    <w:p w:rsidR="002A4200" w:rsidRPr="002A4200" w:rsidRDefault="002A4200" w:rsidP="002A4200">
      <w:pPr>
        <w:shd w:val="clear" w:color="auto" w:fill="FFFFFF"/>
        <w:spacing w:before="225" w:after="225"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lang w:eastAsia="uk-UA"/>
        </w:rPr>
        <w:t> </w:t>
      </w:r>
    </w:p>
    <w:p w:rsidR="002A4200" w:rsidRPr="00903CEB" w:rsidRDefault="002A4200" w:rsidP="002A4200">
      <w:pPr>
        <w:shd w:val="clear" w:color="auto" w:fill="FFFFFF"/>
        <w:spacing w:after="0" w:line="240" w:lineRule="auto"/>
        <w:rPr>
          <w:rFonts w:ascii="Roboto" w:eastAsia="Times New Roman" w:hAnsi="Roboto" w:cs="Times New Roman"/>
          <w:color w:val="000000"/>
          <w:sz w:val="28"/>
          <w:szCs w:val="28"/>
          <w:lang w:eastAsia="uk-UA"/>
        </w:rPr>
      </w:pPr>
      <w:proofErr w:type="spellStart"/>
      <w:r w:rsidRPr="00903CEB">
        <w:rPr>
          <w:rFonts w:ascii="Times New Roman" w:eastAsia="Times New Roman" w:hAnsi="Times New Roman" w:cs="Times New Roman"/>
          <w:color w:val="000000"/>
          <w:sz w:val="28"/>
          <w:szCs w:val="28"/>
          <w:bdr w:val="none" w:sz="0" w:space="0" w:color="auto" w:frame="1"/>
          <w:lang w:eastAsia="uk-UA"/>
        </w:rPr>
        <w:t>Баштанське</w:t>
      </w:r>
      <w:proofErr w:type="spellEnd"/>
      <w:r w:rsidRPr="00903CEB">
        <w:rPr>
          <w:rFonts w:ascii="Times New Roman" w:eastAsia="Times New Roman" w:hAnsi="Times New Roman" w:cs="Times New Roman"/>
          <w:color w:val="000000"/>
          <w:sz w:val="28"/>
          <w:szCs w:val="28"/>
          <w:bdr w:val="none" w:sz="0" w:space="0" w:color="auto" w:frame="1"/>
          <w:lang w:eastAsia="uk-UA"/>
        </w:rPr>
        <w:t xml:space="preserve"> районне управління </w:t>
      </w:r>
      <w:proofErr w:type="spellStart"/>
      <w:r w:rsidR="00A828D1" w:rsidRPr="00903CEB">
        <w:rPr>
          <w:sz w:val="28"/>
          <w:szCs w:val="28"/>
        </w:rPr>
        <w:fldChar w:fldCharType="begin"/>
      </w:r>
      <w:r w:rsidR="00A828D1" w:rsidRPr="00903CEB">
        <w:rPr>
          <w:sz w:val="28"/>
          <w:szCs w:val="28"/>
        </w:rPr>
        <w:instrText>HYPERLINK "https://dpssmk.gov.ua/"</w:instrText>
      </w:r>
      <w:r w:rsidR="00A828D1" w:rsidRPr="00903CEB">
        <w:rPr>
          <w:sz w:val="28"/>
          <w:szCs w:val="28"/>
        </w:rPr>
        <w:fldChar w:fldCharType="separate"/>
      </w:r>
      <w:r w:rsidRPr="00903CEB">
        <w:rPr>
          <w:rFonts w:ascii="Times New Roman" w:eastAsia="Times New Roman" w:hAnsi="Times New Roman" w:cs="Times New Roman"/>
          <w:color w:val="0000FF"/>
          <w:sz w:val="28"/>
          <w:szCs w:val="28"/>
          <w:u w:val="single"/>
          <w:bdr w:val="none" w:sz="0" w:space="0" w:color="auto" w:frame="1"/>
          <w:lang w:eastAsia="uk-UA"/>
        </w:rPr>
        <w:t>Гол</w:t>
      </w:r>
      <w:r w:rsidRPr="00903CEB">
        <w:rPr>
          <w:rFonts w:ascii="Times New Roman" w:eastAsia="Times New Roman" w:hAnsi="Times New Roman" w:cs="Times New Roman"/>
          <w:color w:val="0000FF"/>
          <w:sz w:val="28"/>
          <w:szCs w:val="28"/>
          <w:u w:val="single"/>
          <w:bdr w:val="none" w:sz="0" w:space="0" w:color="auto" w:frame="1"/>
          <w:lang w:eastAsia="uk-UA"/>
        </w:rPr>
        <w:t>о</w:t>
      </w:r>
      <w:r w:rsidRPr="00903CEB">
        <w:rPr>
          <w:rFonts w:ascii="Times New Roman" w:eastAsia="Times New Roman" w:hAnsi="Times New Roman" w:cs="Times New Roman"/>
          <w:color w:val="0000FF"/>
          <w:sz w:val="28"/>
          <w:szCs w:val="28"/>
          <w:u w:val="single"/>
          <w:bdr w:val="none" w:sz="0" w:space="0" w:color="auto" w:frame="1"/>
          <w:lang w:eastAsia="uk-UA"/>
        </w:rPr>
        <w:t>в</w:t>
      </w:r>
      <w:r w:rsidRPr="00903CEB">
        <w:rPr>
          <w:rFonts w:ascii="Times New Roman" w:eastAsia="Times New Roman" w:hAnsi="Times New Roman" w:cs="Times New Roman"/>
          <w:color w:val="0000FF"/>
          <w:sz w:val="28"/>
          <w:szCs w:val="28"/>
          <w:u w:val="single"/>
          <w:bdr w:val="none" w:sz="0" w:space="0" w:color="auto" w:frame="1"/>
          <w:lang w:eastAsia="uk-UA"/>
        </w:rPr>
        <w:t>н</w:t>
      </w:r>
      <w:r w:rsidRPr="00903CEB">
        <w:rPr>
          <w:rFonts w:ascii="Times New Roman" w:eastAsia="Times New Roman" w:hAnsi="Times New Roman" w:cs="Times New Roman"/>
          <w:color w:val="0000FF"/>
          <w:sz w:val="28"/>
          <w:szCs w:val="28"/>
          <w:u w:val="single"/>
          <w:bdr w:val="none" w:sz="0" w:space="0" w:color="auto" w:frame="1"/>
          <w:lang w:eastAsia="uk-UA"/>
        </w:rPr>
        <w:t>огоуправління</w:t>
      </w:r>
      <w:proofErr w:type="spellEnd"/>
      <w:r w:rsidRPr="00903CEB">
        <w:rPr>
          <w:rFonts w:ascii="Times New Roman" w:eastAsia="Times New Roman" w:hAnsi="Times New Roman" w:cs="Times New Roman"/>
          <w:color w:val="0000FF"/>
          <w:sz w:val="28"/>
          <w:szCs w:val="28"/>
          <w:u w:val="single"/>
          <w:bdr w:val="none" w:sz="0" w:space="0" w:color="auto" w:frame="1"/>
          <w:lang w:eastAsia="uk-UA"/>
        </w:rPr>
        <w:t>   Держпродспоживслужби в Миколаївській області</w:t>
      </w:r>
      <w:r w:rsidR="00A828D1" w:rsidRPr="00903CEB">
        <w:rPr>
          <w:sz w:val="28"/>
          <w:szCs w:val="28"/>
        </w:rPr>
        <w:fldChar w:fldCharType="end"/>
      </w:r>
      <w:r w:rsidRPr="00903CEB">
        <w:rPr>
          <w:rFonts w:ascii="Roboto" w:eastAsia="Times New Roman" w:hAnsi="Roboto" w:cs="Times New Roman"/>
          <w:color w:val="000000"/>
          <w:sz w:val="28"/>
          <w:szCs w:val="28"/>
          <w:lang w:eastAsia="uk-UA"/>
        </w:rPr>
        <w:t> </w:t>
      </w:r>
    </w:p>
    <w:p w:rsidR="002A4200" w:rsidRPr="002A4200" w:rsidRDefault="002A4200" w:rsidP="002A4200">
      <w:pPr>
        <w:shd w:val="clear" w:color="auto" w:fill="FFFFFF"/>
        <w:spacing w:before="225" w:after="225" w:line="240" w:lineRule="auto"/>
        <w:jc w:val="both"/>
        <w:rPr>
          <w:rFonts w:ascii="Roboto" w:eastAsia="Times New Roman" w:hAnsi="Roboto" w:cs="Times New Roman"/>
          <w:color w:val="000000"/>
          <w:sz w:val="21"/>
          <w:szCs w:val="21"/>
          <w:lang w:eastAsia="uk-UA"/>
        </w:rPr>
      </w:pPr>
      <w:r w:rsidRPr="002A4200">
        <w:rPr>
          <w:rFonts w:ascii="Roboto" w:eastAsia="Times New Roman" w:hAnsi="Roboto" w:cs="Times New Roman"/>
          <w:color w:val="000000"/>
          <w:sz w:val="21"/>
          <w:szCs w:val="21"/>
          <w:lang w:eastAsia="uk-UA"/>
        </w:rPr>
        <w:t> </w:t>
      </w:r>
    </w:p>
    <w:p w:rsidR="002A4200" w:rsidRPr="00903CEB" w:rsidRDefault="00903CEB" w:rsidP="002A4200">
      <w:pPr>
        <w:shd w:val="clear" w:color="auto" w:fill="FFFFFF"/>
        <w:spacing w:after="0" w:line="240" w:lineRule="auto"/>
        <w:jc w:val="both"/>
        <w:rPr>
          <w:rFonts w:ascii="Roboto" w:eastAsia="Times New Roman" w:hAnsi="Roboto" w:cs="Times New Roman"/>
          <w:color w:val="000000"/>
          <w:sz w:val="28"/>
          <w:szCs w:val="28"/>
          <w:lang w:eastAsia="uk-UA"/>
        </w:rPr>
      </w:pPr>
      <w:r>
        <w:rPr>
          <w:rFonts w:ascii="Times New Roman" w:eastAsia="Times New Roman" w:hAnsi="Times New Roman" w:cs="Times New Roman"/>
          <w:b/>
          <w:bCs/>
          <w:color w:val="1D1D1B"/>
          <w:sz w:val="28"/>
          <w:szCs w:val="28"/>
          <w:bdr w:val="none" w:sz="0" w:space="0" w:color="auto" w:frame="1"/>
          <w:shd w:val="clear" w:color="auto" w:fill="FFFFFF"/>
          <w:lang w:eastAsia="uk-UA"/>
        </w:rPr>
        <w:t xml:space="preserve">Офіційний </w:t>
      </w:r>
      <w:proofErr w:type="spellStart"/>
      <w:r>
        <w:rPr>
          <w:rFonts w:ascii="Times New Roman" w:eastAsia="Times New Roman" w:hAnsi="Times New Roman" w:cs="Times New Roman"/>
          <w:b/>
          <w:bCs/>
          <w:color w:val="1D1D1B"/>
          <w:sz w:val="28"/>
          <w:szCs w:val="28"/>
          <w:bdr w:val="none" w:sz="0" w:space="0" w:color="auto" w:frame="1"/>
          <w:shd w:val="clear" w:color="auto" w:fill="FFFFFF"/>
          <w:lang w:eastAsia="uk-UA"/>
        </w:rPr>
        <w:t>вебресурс</w:t>
      </w:r>
      <w:proofErr w:type="spellEnd"/>
      <w:r>
        <w:rPr>
          <w:rFonts w:ascii="Times New Roman" w:eastAsia="Times New Roman" w:hAnsi="Times New Roman" w:cs="Times New Roman"/>
          <w:b/>
          <w:bCs/>
          <w:color w:val="1D1D1B"/>
          <w:sz w:val="28"/>
          <w:szCs w:val="28"/>
          <w:bdr w:val="none" w:sz="0" w:space="0" w:color="auto" w:frame="1"/>
          <w:shd w:val="clear" w:color="auto" w:fill="FFFFFF"/>
          <w:lang w:eastAsia="uk-UA"/>
        </w:rPr>
        <w:t xml:space="preserve"> Головного управління Держпродспоживслужби в Миколаївській області</w:t>
      </w:r>
      <w:r w:rsidR="002A4200" w:rsidRPr="00903CEB">
        <w:rPr>
          <w:rFonts w:ascii="Times New Roman" w:eastAsia="Times New Roman" w:hAnsi="Times New Roman" w:cs="Times New Roman"/>
          <w:b/>
          <w:bCs/>
          <w:color w:val="1D1D1B"/>
          <w:sz w:val="28"/>
          <w:szCs w:val="28"/>
          <w:bdr w:val="none" w:sz="0" w:space="0" w:color="auto" w:frame="1"/>
          <w:shd w:val="clear" w:color="auto" w:fill="FFFFFF"/>
          <w:lang w:eastAsia="uk-UA"/>
        </w:rPr>
        <w:t> -</w:t>
      </w:r>
      <w:r w:rsidR="002A4200" w:rsidRPr="00903CEB">
        <w:rPr>
          <w:rFonts w:ascii="Roboto" w:eastAsia="Times New Roman" w:hAnsi="Roboto" w:cs="Times New Roman"/>
          <w:color w:val="000000"/>
          <w:sz w:val="28"/>
          <w:szCs w:val="28"/>
          <w:bdr w:val="none" w:sz="0" w:space="0" w:color="auto" w:frame="1"/>
          <w:shd w:val="clear" w:color="auto" w:fill="FFFFFF"/>
          <w:lang w:eastAsia="uk-UA"/>
        </w:rPr>
        <w:t> </w:t>
      </w:r>
      <w:hyperlink r:id="rId5" w:history="1">
        <w:r w:rsidR="002A4200" w:rsidRPr="00903CEB">
          <w:rPr>
            <w:rFonts w:ascii="Times New Roman" w:eastAsia="Times New Roman" w:hAnsi="Times New Roman" w:cs="Times New Roman"/>
            <w:color w:val="0000FF"/>
            <w:sz w:val="28"/>
            <w:szCs w:val="28"/>
            <w:u w:val="single"/>
            <w:bdr w:val="none" w:sz="0" w:space="0" w:color="auto" w:frame="1"/>
            <w:shd w:val="clear" w:color="auto" w:fill="FFFFFF"/>
            <w:lang w:eastAsia="uk-UA"/>
          </w:rPr>
          <w:t>https://www.facebook.com/Mykolaivdpss/</w:t>
        </w:r>
      </w:hyperlink>
    </w:p>
    <w:p w:rsidR="00D677D6" w:rsidRDefault="00D677D6"/>
    <w:sectPr w:rsidR="00D677D6" w:rsidSect="00A828D1">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Roboto">
    <w:altName w:val="Times New Roman"/>
    <w:charset w:val="00"/>
    <w:family w:val="auto"/>
    <w:pitch w:val="variable"/>
    <w:sig w:usb0="00000001" w:usb1="5000205B" w:usb2="0000002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278A2"/>
    <w:rsid w:val="000278A2"/>
    <w:rsid w:val="002A4200"/>
    <w:rsid w:val="00903CEB"/>
    <w:rsid w:val="00A828D1"/>
    <w:rsid w:val="00D677D6"/>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28D1"/>
  </w:style>
  <w:style w:type="paragraph" w:styleId="1">
    <w:name w:val="heading 1"/>
    <w:basedOn w:val="a"/>
    <w:link w:val="10"/>
    <w:uiPriority w:val="9"/>
    <w:qFormat/>
    <w:rsid w:val="002A420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A4200"/>
    <w:rPr>
      <w:rFonts w:ascii="Times New Roman" w:eastAsia="Times New Roman" w:hAnsi="Times New Roman" w:cs="Times New Roman"/>
      <w:b/>
      <w:bCs/>
      <w:kern w:val="36"/>
      <w:sz w:val="48"/>
      <w:szCs w:val="48"/>
      <w:lang w:eastAsia="uk-UA"/>
    </w:rPr>
  </w:style>
  <w:style w:type="paragraph" w:customStyle="1" w:styleId="docdata">
    <w:name w:val="docdata"/>
    <w:aliases w:val="docy,v5,55967,baiaagaaboqcaaad+9maaauj1aaaaaaaaaaaaaaaaaaaaaaaaaaaaaaaaaaaaaaaaaaaaaaaaaaaaaaaaaaaaaaaaaaaaaaaaaaaaaaaaaaaaaaaaaaaaaaaaaaaaaaaaaaaaaaaaaaaaaaaaaaaaaaaaaaaaaaaaaaaaaaaaaaaaaaaaaaaaaaaaaaaaaaaaaaaaaaaaaaaaaaaaaaaaaaaaaaaaaaaaaaaaaa"/>
    <w:basedOn w:val="a"/>
    <w:rsid w:val="002A4200"/>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basedOn w:val="a"/>
    <w:uiPriority w:val="99"/>
    <w:semiHidden/>
    <w:unhideWhenUsed/>
    <w:rsid w:val="002A420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2A4200"/>
    <w:rPr>
      <w:color w:val="0000FF"/>
      <w:u w:val="single"/>
    </w:rPr>
  </w:style>
  <w:style w:type="paragraph" w:styleId="a5">
    <w:name w:val="Balloon Text"/>
    <w:basedOn w:val="a"/>
    <w:link w:val="a6"/>
    <w:uiPriority w:val="99"/>
    <w:semiHidden/>
    <w:unhideWhenUsed/>
    <w:rsid w:val="00903CE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03CE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3196272">
      <w:bodyDiv w:val="1"/>
      <w:marLeft w:val="0"/>
      <w:marRight w:val="0"/>
      <w:marTop w:val="0"/>
      <w:marBottom w:val="0"/>
      <w:divBdr>
        <w:top w:val="none" w:sz="0" w:space="0" w:color="auto"/>
        <w:left w:val="none" w:sz="0" w:space="0" w:color="auto"/>
        <w:bottom w:val="none" w:sz="0" w:space="0" w:color="auto"/>
        <w:right w:val="none" w:sz="0" w:space="0" w:color="auto"/>
      </w:divBdr>
      <w:divsChild>
        <w:div w:id="295989640">
          <w:marLeft w:val="-225"/>
          <w:marRight w:val="-225"/>
          <w:marTop w:val="0"/>
          <w:marBottom w:val="0"/>
          <w:divBdr>
            <w:top w:val="none" w:sz="0" w:space="0" w:color="auto"/>
            <w:left w:val="none" w:sz="0" w:space="0" w:color="auto"/>
            <w:bottom w:val="none" w:sz="0" w:space="0" w:color="auto"/>
            <w:right w:val="none" w:sz="0" w:space="0" w:color="auto"/>
          </w:divBdr>
          <w:divsChild>
            <w:div w:id="333338509">
              <w:marLeft w:val="0"/>
              <w:marRight w:val="0"/>
              <w:marTop w:val="0"/>
              <w:marBottom w:val="0"/>
              <w:divBdr>
                <w:top w:val="none" w:sz="0" w:space="0" w:color="auto"/>
                <w:left w:val="none" w:sz="0" w:space="0" w:color="auto"/>
                <w:bottom w:val="none" w:sz="0" w:space="0" w:color="auto"/>
                <w:right w:val="none" w:sz="0" w:space="0" w:color="auto"/>
              </w:divBdr>
            </w:div>
            <w:div w:id="1862159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vlada.pp.ua/goto/aHR0cHM6Ly93d3cuZmFjZWJvb2suY29tL015a29sYWl2ZHBzcy8=/"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5273</Words>
  <Characters>3007</Characters>
  <Application>Microsoft Office Word</Application>
  <DocSecurity>0</DocSecurity>
  <Lines>25</Lines>
  <Paragraphs>16</Paragraphs>
  <ScaleCrop>false</ScaleCrop>
  <Company/>
  <LinksUpToDate>false</LinksUpToDate>
  <CharactersWithSpaces>8264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DPSSmk</dc:creator>
  <cp:keywords/>
  <dc:description/>
  <cp:lastModifiedBy>user</cp:lastModifiedBy>
  <cp:revision>3</cp:revision>
  <dcterms:created xsi:type="dcterms:W3CDTF">2025-05-08T10:45:00Z</dcterms:created>
  <dcterms:modified xsi:type="dcterms:W3CDTF">2025-05-20T06:21:00Z</dcterms:modified>
</cp:coreProperties>
</file>